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829" w:rsidRDefault="00BE3829">
      <w:pPr>
        <w:rPr>
          <w:rFonts w:ascii="Gill Sans MT" w:hAnsi="Gill Sans MT"/>
          <w:sz w:val="28"/>
          <w:szCs w:val="28"/>
        </w:rPr>
      </w:pPr>
      <w:r w:rsidRPr="00BE3829">
        <w:rPr>
          <w:rFonts w:ascii="Gill Sans MT" w:hAnsi="Gill Sans MT"/>
          <w:sz w:val="28"/>
          <w:szCs w:val="28"/>
        </w:rPr>
        <w:t>i</w:t>
      </w:r>
      <w:r w:rsidR="00A63F70" w:rsidRPr="00BE3829">
        <w:rPr>
          <w:rFonts w:ascii="Gill Sans MT" w:hAnsi="Gill Sans MT"/>
          <w:sz w:val="28"/>
          <w:szCs w:val="28"/>
        </w:rPr>
        <w:t xml:space="preserve">ntandem guidance: </w:t>
      </w:r>
      <w:r w:rsidR="00B12331" w:rsidRPr="00BE3829">
        <w:rPr>
          <w:rFonts w:ascii="Gill Sans MT" w:hAnsi="Gill Sans MT"/>
          <w:sz w:val="28"/>
          <w:szCs w:val="28"/>
        </w:rPr>
        <w:t>The new General Data Protection Regulations</w:t>
      </w:r>
    </w:p>
    <w:p w:rsidR="00490AAB" w:rsidRDefault="00490AAB" w:rsidP="00F44A7D">
      <w:pPr>
        <w:rPr>
          <w:rFonts w:ascii="Gill Sans MT" w:hAnsi="Gill Sans MT"/>
          <w:u w:val="single"/>
        </w:rPr>
      </w:pPr>
    </w:p>
    <w:p w:rsidR="00F44A7D" w:rsidRPr="00BE3829" w:rsidRDefault="00F44A7D" w:rsidP="00F44A7D">
      <w:pPr>
        <w:rPr>
          <w:rFonts w:ascii="Gill Sans MT" w:hAnsi="Gill Sans MT"/>
          <w:u w:val="single"/>
        </w:rPr>
      </w:pPr>
      <w:r w:rsidRPr="00BE3829">
        <w:rPr>
          <w:rFonts w:ascii="Gill Sans MT" w:hAnsi="Gill Sans MT"/>
          <w:u w:val="single"/>
        </w:rPr>
        <w:t>In simple language, what are the new regulations about?</w:t>
      </w:r>
    </w:p>
    <w:p w:rsidR="00B62430" w:rsidRPr="00BE3829" w:rsidRDefault="00A63F70" w:rsidP="00F44A7D">
      <w:pPr>
        <w:rPr>
          <w:rFonts w:ascii="Gill Sans MT" w:hAnsi="Gill Sans MT"/>
        </w:rPr>
      </w:pPr>
      <w:r w:rsidRPr="00BE3829">
        <w:rPr>
          <w:rFonts w:ascii="Gill Sans MT" w:hAnsi="Gill Sans MT"/>
        </w:rPr>
        <w:t>The new regulations are</w:t>
      </w:r>
      <w:r w:rsidR="00D83875" w:rsidRPr="00BE3829">
        <w:rPr>
          <w:rFonts w:ascii="Gill Sans MT" w:hAnsi="Gill Sans MT"/>
        </w:rPr>
        <w:t xml:space="preserve"> not big and scary; </w:t>
      </w:r>
      <w:r w:rsidR="00B62430" w:rsidRPr="00BE3829">
        <w:rPr>
          <w:rFonts w:ascii="Gill Sans MT" w:hAnsi="Gill Sans MT"/>
        </w:rPr>
        <w:t>th</w:t>
      </w:r>
      <w:r w:rsidRPr="00BE3829">
        <w:rPr>
          <w:rFonts w:ascii="Gill Sans MT" w:hAnsi="Gill Sans MT"/>
        </w:rPr>
        <w:t xml:space="preserve">ey are </w:t>
      </w:r>
      <w:r w:rsidR="00B62430" w:rsidRPr="00BE3829">
        <w:rPr>
          <w:rFonts w:ascii="Gill Sans MT" w:hAnsi="Gill Sans MT"/>
        </w:rPr>
        <w:t>an evolution not a revolution.  If you are already good on data protection, moving to the new GDPR should not be too much of an issue.</w:t>
      </w:r>
      <w:r w:rsidR="00F8408B" w:rsidRPr="00BE3829">
        <w:rPr>
          <w:rFonts w:ascii="Gill Sans MT" w:hAnsi="Gill Sans MT"/>
        </w:rPr>
        <w:t xml:space="preserve">  The data protection principles are similar, </w:t>
      </w:r>
      <w:r w:rsidR="00E5495C">
        <w:rPr>
          <w:rFonts w:ascii="Gill Sans MT" w:hAnsi="Gill Sans MT"/>
        </w:rPr>
        <w:t>but w</w:t>
      </w:r>
      <w:r w:rsidR="00F8408B" w:rsidRPr="00BE3829">
        <w:rPr>
          <w:rFonts w:ascii="Gill Sans MT" w:hAnsi="Gill Sans MT"/>
        </w:rPr>
        <w:t xml:space="preserve">ith a bit of added detail and a new requirement for you to be able to show how you are complying with the principles.  </w:t>
      </w:r>
    </w:p>
    <w:p w:rsidR="00F44A7D" w:rsidRDefault="00F44A7D" w:rsidP="00F44A7D">
      <w:pPr>
        <w:rPr>
          <w:rFonts w:ascii="Gill Sans MT" w:hAnsi="Gill Sans MT"/>
        </w:rPr>
      </w:pPr>
      <w:r w:rsidRPr="00BE3829">
        <w:rPr>
          <w:rFonts w:ascii="Gill Sans MT" w:hAnsi="Gill Sans MT"/>
        </w:rPr>
        <w:t xml:space="preserve">They improve </w:t>
      </w:r>
      <w:r w:rsidR="003613A0" w:rsidRPr="00BE3829">
        <w:rPr>
          <w:rFonts w:ascii="Gill Sans MT" w:hAnsi="Gill Sans MT"/>
        </w:rPr>
        <w:t>an individual’s</w:t>
      </w:r>
      <w:r w:rsidRPr="00BE3829">
        <w:rPr>
          <w:rFonts w:ascii="Gill Sans MT" w:hAnsi="Gill Sans MT"/>
        </w:rPr>
        <w:t xml:space="preserve"> rights in respect of </w:t>
      </w:r>
      <w:r w:rsidR="00EA4152" w:rsidRPr="00BE3829">
        <w:rPr>
          <w:rFonts w:ascii="Gill Sans MT" w:hAnsi="Gill Sans MT"/>
        </w:rPr>
        <w:t xml:space="preserve">personal </w:t>
      </w:r>
      <w:r w:rsidRPr="00BE3829">
        <w:rPr>
          <w:rFonts w:ascii="Gill Sans MT" w:hAnsi="Gill Sans MT"/>
        </w:rPr>
        <w:t>data held by organisations.</w:t>
      </w:r>
      <w:r w:rsidR="00A63F70" w:rsidRPr="00BE3829">
        <w:rPr>
          <w:rFonts w:ascii="Gill Sans MT" w:hAnsi="Gill Sans MT"/>
        </w:rPr>
        <w:t xml:space="preserve">  </w:t>
      </w:r>
      <w:r w:rsidR="00BE3829">
        <w:rPr>
          <w:rFonts w:ascii="Gill Sans MT" w:hAnsi="Gill Sans MT"/>
        </w:rPr>
        <w:t>T</w:t>
      </w:r>
      <w:r w:rsidR="00A63F70" w:rsidRPr="00BE3829">
        <w:rPr>
          <w:rFonts w:ascii="Gill Sans MT" w:hAnsi="Gill Sans MT"/>
        </w:rPr>
        <w:t xml:space="preserve">he new </w:t>
      </w:r>
      <w:r w:rsidR="00BE3829">
        <w:rPr>
          <w:rFonts w:ascii="Gill Sans MT" w:hAnsi="Gill Sans MT"/>
        </w:rPr>
        <w:t>r</w:t>
      </w:r>
      <w:r w:rsidR="00A63F70" w:rsidRPr="00BE3829">
        <w:rPr>
          <w:rFonts w:ascii="Gill Sans MT" w:hAnsi="Gill Sans MT"/>
        </w:rPr>
        <w:t>egulations are stricter on making sure that an individual has truly consented to an organisation having their data, and give new rights to individuals to see what data is held about them and to have their information deleted if they want.</w:t>
      </w:r>
    </w:p>
    <w:p w:rsidR="00BE3829" w:rsidRPr="00BE3829" w:rsidRDefault="00BE3829" w:rsidP="00F44A7D">
      <w:pPr>
        <w:rPr>
          <w:rFonts w:ascii="Gill Sans MT" w:hAnsi="Gill Sans MT"/>
        </w:rPr>
      </w:pPr>
      <w:r>
        <w:rPr>
          <w:rFonts w:ascii="Gill Sans MT" w:hAnsi="Gill Sans MT"/>
        </w:rPr>
        <w:t xml:space="preserve">The other area of change, which I </w:t>
      </w:r>
      <w:r w:rsidR="00E5495C">
        <w:rPr>
          <w:rFonts w:ascii="Gill Sans MT" w:hAnsi="Gill Sans MT"/>
        </w:rPr>
        <w:t xml:space="preserve">expect </w:t>
      </w:r>
      <w:r>
        <w:rPr>
          <w:rFonts w:ascii="Gill Sans MT" w:hAnsi="Gill Sans MT"/>
        </w:rPr>
        <w:t>we can avoid, is a new responsibility to notify of any occasion when a data breach occurs which is likely to “result in a risk for the rights and freedoms” of an individual.</w:t>
      </w:r>
    </w:p>
    <w:p w:rsidR="00A63F70" w:rsidRPr="00BE3829" w:rsidRDefault="00A63F70" w:rsidP="00A63F70">
      <w:pPr>
        <w:rPr>
          <w:rFonts w:ascii="Gill Sans MT" w:hAnsi="Gill Sans MT"/>
        </w:rPr>
      </w:pPr>
      <w:r w:rsidRPr="00BE3829">
        <w:rPr>
          <w:rFonts w:ascii="Gill Sans MT" w:hAnsi="Gill Sans MT"/>
        </w:rPr>
        <w:t xml:space="preserve">And – </w:t>
      </w:r>
      <w:r w:rsidR="005C3F82">
        <w:rPr>
          <w:rFonts w:ascii="Gill Sans MT" w:hAnsi="Gill Sans MT"/>
        </w:rPr>
        <w:t xml:space="preserve">if </w:t>
      </w:r>
      <w:r w:rsidR="007D62EC">
        <w:rPr>
          <w:rFonts w:ascii="Gill Sans MT" w:hAnsi="Gill Sans MT"/>
        </w:rPr>
        <w:t xml:space="preserve">you </w:t>
      </w:r>
      <w:bookmarkStart w:id="0" w:name="_GoBack"/>
      <w:bookmarkEnd w:id="0"/>
      <w:r w:rsidRPr="00BE3829">
        <w:rPr>
          <w:rFonts w:ascii="Gill Sans MT" w:hAnsi="Gill Sans MT"/>
        </w:rPr>
        <w:t>always remember that data belongs to the individual, not to the organisation</w:t>
      </w:r>
      <w:r w:rsidR="005C3F82">
        <w:rPr>
          <w:rFonts w:ascii="Gill Sans MT" w:hAnsi="Gill Sans MT"/>
        </w:rPr>
        <w:t xml:space="preserve">, then data protection and the new regulations </w:t>
      </w:r>
      <w:r w:rsidRPr="00BE3829">
        <w:rPr>
          <w:rFonts w:ascii="Gill Sans MT" w:hAnsi="Gill Sans MT"/>
        </w:rPr>
        <w:t>make a lot of sense!</w:t>
      </w:r>
    </w:p>
    <w:p w:rsidR="00EA4152" w:rsidRPr="00BE3829" w:rsidRDefault="00EA4152" w:rsidP="00F44A7D">
      <w:pPr>
        <w:rPr>
          <w:rFonts w:ascii="Gill Sans MT" w:hAnsi="Gill Sans MT"/>
          <w:u w:val="single"/>
        </w:rPr>
      </w:pPr>
      <w:r w:rsidRPr="00BE3829">
        <w:rPr>
          <w:rFonts w:ascii="Gill Sans MT" w:hAnsi="Gill Sans MT"/>
          <w:u w:val="single"/>
        </w:rPr>
        <w:t>What is personal data?</w:t>
      </w:r>
    </w:p>
    <w:p w:rsidR="00A63F70" w:rsidRPr="00BE3829" w:rsidRDefault="00A63F70" w:rsidP="00A63F70">
      <w:pPr>
        <w:rPr>
          <w:rFonts w:ascii="Gill Sans MT" w:hAnsi="Gill Sans MT"/>
        </w:rPr>
      </w:pPr>
      <w:r w:rsidRPr="00BE3829">
        <w:rPr>
          <w:rFonts w:ascii="Gill Sans MT" w:hAnsi="Gill Sans MT"/>
        </w:rPr>
        <w:t xml:space="preserve">Personal data is data that is sufficient for the person to be identified.  If you just have a name e.g. David Robertson, you probably don’t have personal data.  But if you have the name </w:t>
      </w:r>
      <w:r w:rsidRPr="00BE3829">
        <w:rPr>
          <w:rFonts w:ascii="Gill Sans MT" w:hAnsi="Gill Sans MT"/>
          <w:b/>
        </w:rPr>
        <w:t>and</w:t>
      </w:r>
      <w:r w:rsidRPr="00BE3829">
        <w:rPr>
          <w:rFonts w:ascii="Gill Sans MT" w:hAnsi="Gill Sans MT"/>
        </w:rPr>
        <w:t xml:space="preserve"> their address, or even just the town where they live or their telephone number, then that is personal data.</w:t>
      </w:r>
    </w:p>
    <w:p w:rsidR="00B12331" w:rsidRPr="00BE3829" w:rsidRDefault="00B12331">
      <w:pPr>
        <w:rPr>
          <w:rFonts w:ascii="Gill Sans MT" w:hAnsi="Gill Sans MT"/>
          <w:u w:val="single"/>
        </w:rPr>
      </w:pPr>
      <w:r w:rsidRPr="00BE3829">
        <w:rPr>
          <w:rFonts w:ascii="Gill Sans MT" w:hAnsi="Gill Sans MT"/>
          <w:u w:val="single"/>
        </w:rPr>
        <w:t>The outcome we want</w:t>
      </w:r>
    </w:p>
    <w:p w:rsidR="00A63F70" w:rsidRPr="00BE3829" w:rsidRDefault="00A63F70" w:rsidP="00A63F70">
      <w:pPr>
        <w:rPr>
          <w:rFonts w:ascii="Gill Sans MT" w:hAnsi="Gill Sans MT"/>
        </w:rPr>
      </w:pPr>
      <w:r w:rsidRPr="00BE3829">
        <w:rPr>
          <w:rFonts w:ascii="Gill Sans MT" w:hAnsi="Gill Sans MT"/>
        </w:rPr>
        <w:t>The new regulations come into force at the end of May, 2018.  By then, we want to be sure that the intandem services are compliant with the new regulations.  To achieve this, we expect that:</w:t>
      </w:r>
    </w:p>
    <w:p w:rsidR="00A63F70" w:rsidRPr="00BE3829" w:rsidRDefault="00A63F70" w:rsidP="00BE3829">
      <w:pPr>
        <w:pStyle w:val="ListParagraph"/>
        <w:numPr>
          <w:ilvl w:val="0"/>
          <w:numId w:val="12"/>
        </w:numPr>
        <w:ind w:left="714" w:hanging="357"/>
        <w:contextualSpacing w:val="0"/>
        <w:rPr>
          <w:rFonts w:ascii="Gill Sans MT" w:hAnsi="Gill Sans MT"/>
        </w:rPr>
      </w:pPr>
      <w:r w:rsidRPr="00BE3829">
        <w:rPr>
          <w:rFonts w:ascii="Gill Sans MT" w:hAnsi="Gill Sans MT"/>
        </w:rPr>
        <w:t>All charities with have undertaken a review of the data they hold in the intandem service</w:t>
      </w:r>
    </w:p>
    <w:p w:rsidR="00B12331" w:rsidRPr="00BE3829" w:rsidRDefault="00A63F70" w:rsidP="00BE3829">
      <w:pPr>
        <w:pStyle w:val="ListParagraph"/>
        <w:numPr>
          <w:ilvl w:val="0"/>
          <w:numId w:val="12"/>
        </w:numPr>
        <w:ind w:left="714" w:hanging="357"/>
        <w:contextualSpacing w:val="0"/>
        <w:rPr>
          <w:rFonts w:ascii="Gill Sans MT" w:hAnsi="Gill Sans MT"/>
        </w:rPr>
      </w:pPr>
      <w:r w:rsidRPr="00BE3829">
        <w:rPr>
          <w:rFonts w:ascii="Gill Sans MT" w:hAnsi="Gill Sans MT"/>
        </w:rPr>
        <w:t>They will have adopted new consent forms which cover all the data held, and who th</w:t>
      </w:r>
      <w:r w:rsidR="00BE3829" w:rsidRPr="00BE3829">
        <w:rPr>
          <w:rFonts w:ascii="Gill Sans MT" w:hAnsi="Gill Sans MT"/>
        </w:rPr>
        <w:t>at data</w:t>
      </w:r>
      <w:r w:rsidRPr="00BE3829">
        <w:rPr>
          <w:rFonts w:ascii="Gill Sans MT" w:hAnsi="Gill Sans MT"/>
        </w:rPr>
        <w:t xml:space="preserve"> may be shared with</w:t>
      </w:r>
      <w:r w:rsidR="00BE3829" w:rsidRPr="00BE3829">
        <w:rPr>
          <w:rFonts w:ascii="Gill Sans MT" w:hAnsi="Gill Sans MT"/>
        </w:rPr>
        <w:t xml:space="preserve"> </w:t>
      </w:r>
    </w:p>
    <w:p w:rsidR="00BE3829" w:rsidRPr="00BE3829" w:rsidRDefault="00BE3829" w:rsidP="00BE3829">
      <w:pPr>
        <w:pStyle w:val="ListParagraph"/>
        <w:numPr>
          <w:ilvl w:val="0"/>
          <w:numId w:val="12"/>
        </w:numPr>
        <w:ind w:left="714" w:hanging="357"/>
        <w:contextualSpacing w:val="0"/>
        <w:rPr>
          <w:rFonts w:ascii="Gill Sans MT" w:hAnsi="Gill Sans MT"/>
        </w:rPr>
      </w:pPr>
      <w:r w:rsidRPr="00BE3829">
        <w:rPr>
          <w:rFonts w:ascii="Gill Sans MT" w:hAnsi="Gill Sans MT"/>
        </w:rPr>
        <w:t>They will have checked they can react quickly and fully to a request from somebody to see the data held about them, and can delete this data if requested to do so.</w:t>
      </w:r>
    </w:p>
    <w:p w:rsidR="00BE3829" w:rsidRDefault="00BE3829" w:rsidP="00BE3829">
      <w:pPr>
        <w:pStyle w:val="ListParagraph"/>
        <w:numPr>
          <w:ilvl w:val="0"/>
          <w:numId w:val="12"/>
        </w:numPr>
        <w:ind w:left="714" w:hanging="357"/>
        <w:contextualSpacing w:val="0"/>
        <w:rPr>
          <w:rFonts w:ascii="Gill Sans MT" w:hAnsi="Gill Sans MT"/>
        </w:rPr>
      </w:pPr>
      <w:r w:rsidRPr="00BE3829">
        <w:rPr>
          <w:rFonts w:ascii="Gill Sans MT" w:hAnsi="Gill Sans MT"/>
        </w:rPr>
        <w:t xml:space="preserve">Every intandem service manager and volunteer co-ordinator knows who their Data Protection Officer </w:t>
      </w:r>
      <w:r w:rsidR="005C3F82">
        <w:rPr>
          <w:rFonts w:ascii="Gill Sans MT" w:hAnsi="Gill Sans MT"/>
        </w:rPr>
        <w:t xml:space="preserve">is </w:t>
      </w:r>
      <w:r w:rsidRPr="00BE3829">
        <w:rPr>
          <w:rFonts w:ascii="Gill Sans MT" w:hAnsi="Gill Sans MT"/>
        </w:rPr>
        <w:t>(in the larger organisations) or the person responsible for data protection (in the smaller and medium-sized organisations).</w:t>
      </w:r>
    </w:p>
    <w:p w:rsidR="004D0FAB" w:rsidRPr="004D0FAB" w:rsidRDefault="004D0FAB" w:rsidP="004D0FAB">
      <w:pPr>
        <w:rPr>
          <w:rFonts w:ascii="Gill Sans MT" w:hAnsi="Gill Sans MT"/>
        </w:rPr>
      </w:pPr>
      <w:r>
        <w:rPr>
          <w:rFonts w:ascii="Gill Sans MT" w:hAnsi="Gill Sans MT"/>
        </w:rPr>
        <w:t>The following sections outline the steps you should take to ensure that we achieve these outcomes.</w:t>
      </w:r>
    </w:p>
    <w:p w:rsidR="00F44A7D" w:rsidRPr="006806E9" w:rsidRDefault="006806E9" w:rsidP="00F44A7D">
      <w:pPr>
        <w:contextualSpacing/>
        <w:rPr>
          <w:rFonts w:ascii="Gill Sans MT" w:hAnsi="Gill Sans MT"/>
          <w:u w:val="single"/>
        </w:rPr>
      </w:pPr>
      <w:r w:rsidRPr="006806E9">
        <w:rPr>
          <w:rFonts w:ascii="Gill Sans MT" w:hAnsi="Gill Sans MT"/>
          <w:u w:val="single"/>
        </w:rPr>
        <w:t>Review of the data held in the service</w:t>
      </w:r>
    </w:p>
    <w:p w:rsidR="00F44A7D" w:rsidRDefault="00F44A7D" w:rsidP="00F44A7D">
      <w:pPr>
        <w:contextualSpacing/>
        <w:rPr>
          <w:rFonts w:ascii="Gill Sans MT" w:hAnsi="Gill Sans MT"/>
        </w:rPr>
      </w:pPr>
    </w:p>
    <w:p w:rsidR="00683DC4" w:rsidRDefault="00683DC4" w:rsidP="00F44A7D">
      <w:pPr>
        <w:contextualSpacing/>
        <w:rPr>
          <w:rFonts w:ascii="Gill Sans MT" w:hAnsi="Gill Sans MT"/>
        </w:rPr>
      </w:pPr>
      <w:r>
        <w:rPr>
          <w:rFonts w:ascii="Gill Sans MT" w:hAnsi="Gill Sans MT"/>
        </w:rPr>
        <w:t>You have to undertake a review of all the data held by your intandem service to make sure that you have the appropriate consents from the individuals to hold this data about them.</w:t>
      </w:r>
    </w:p>
    <w:p w:rsidR="00683DC4" w:rsidRDefault="00683DC4" w:rsidP="00F44A7D">
      <w:pPr>
        <w:contextualSpacing/>
        <w:rPr>
          <w:rFonts w:ascii="Gill Sans MT" w:hAnsi="Gill Sans MT"/>
        </w:rPr>
      </w:pPr>
    </w:p>
    <w:p w:rsidR="006806E9" w:rsidRDefault="006806E9" w:rsidP="00F44A7D">
      <w:pPr>
        <w:contextualSpacing/>
        <w:rPr>
          <w:rFonts w:ascii="Gill Sans MT" w:hAnsi="Gill Sans MT"/>
        </w:rPr>
      </w:pPr>
      <w:r>
        <w:rPr>
          <w:rFonts w:ascii="Gill Sans MT" w:hAnsi="Gill Sans MT"/>
        </w:rPr>
        <w:lastRenderedPageBreak/>
        <w:t xml:space="preserve">The major information held will be </w:t>
      </w:r>
      <w:r w:rsidR="00683DC4">
        <w:rPr>
          <w:rFonts w:ascii="Gill Sans MT" w:hAnsi="Gill Sans MT"/>
        </w:rPr>
        <w:t xml:space="preserve">about your mentees and mentors.  You will also hold contact information on referrers such as social workers, team leaders, headteachers etc.  As long as the data held about your referrers is limited to their contact details (which </w:t>
      </w:r>
      <w:r w:rsidR="002B201F">
        <w:rPr>
          <w:rFonts w:ascii="Gill Sans MT" w:hAnsi="Gill Sans MT"/>
        </w:rPr>
        <w:t>are held as a legitimate business interest</w:t>
      </w:r>
      <w:r w:rsidR="00683DC4">
        <w:rPr>
          <w:rFonts w:ascii="Gill Sans MT" w:hAnsi="Gill Sans MT"/>
        </w:rPr>
        <w:t>), there is no need for you to include these in your review.</w:t>
      </w:r>
    </w:p>
    <w:p w:rsidR="00683DC4" w:rsidRDefault="00683DC4" w:rsidP="00F44A7D">
      <w:pPr>
        <w:contextualSpacing/>
        <w:rPr>
          <w:rFonts w:ascii="Gill Sans MT" w:hAnsi="Gill Sans MT"/>
        </w:rPr>
      </w:pPr>
    </w:p>
    <w:p w:rsidR="00683DC4" w:rsidRDefault="00683DC4" w:rsidP="00F44A7D">
      <w:pPr>
        <w:contextualSpacing/>
        <w:rPr>
          <w:rFonts w:ascii="Gill Sans MT" w:hAnsi="Gill Sans MT"/>
        </w:rPr>
      </w:pPr>
      <w:r>
        <w:rPr>
          <w:rFonts w:ascii="Gill Sans MT" w:hAnsi="Gill Sans MT"/>
        </w:rPr>
        <w:t>For the mentee and mentor data, you should identify the following:</w:t>
      </w:r>
    </w:p>
    <w:p w:rsidR="00683DC4" w:rsidRPr="00683DC4" w:rsidRDefault="00683DC4" w:rsidP="00683DC4">
      <w:pPr>
        <w:pStyle w:val="ListParagraph"/>
        <w:numPr>
          <w:ilvl w:val="0"/>
          <w:numId w:val="13"/>
        </w:numPr>
        <w:rPr>
          <w:rFonts w:ascii="Gill Sans MT" w:hAnsi="Gill Sans MT"/>
        </w:rPr>
      </w:pPr>
      <w:r w:rsidRPr="00683DC4">
        <w:rPr>
          <w:rFonts w:ascii="Gill Sans MT" w:hAnsi="Gill Sans MT"/>
        </w:rPr>
        <w:t>what data you hold</w:t>
      </w:r>
    </w:p>
    <w:p w:rsidR="00683DC4" w:rsidRPr="00683DC4" w:rsidRDefault="00683DC4" w:rsidP="00683DC4">
      <w:pPr>
        <w:pStyle w:val="ListParagraph"/>
        <w:numPr>
          <w:ilvl w:val="0"/>
          <w:numId w:val="13"/>
        </w:numPr>
        <w:rPr>
          <w:rFonts w:ascii="Gill Sans MT" w:hAnsi="Gill Sans MT"/>
        </w:rPr>
      </w:pPr>
      <w:r w:rsidRPr="00683DC4">
        <w:rPr>
          <w:rFonts w:ascii="Gill Sans MT" w:hAnsi="Gill Sans MT"/>
        </w:rPr>
        <w:t xml:space="preserve">where it comes from </w:t>
      </w:r>
    </w:p>
    <w:p w:rsidR="00683DC4" w:rsidRPr="00683DC4" w:rsidRDefault="00683DC4" w:rsidP="00683DC4">
      <w:pPr>
        <w:pStyle w:val="ListParagraph"/>
        <w:numPr>
          <w:ilvl w:val="0"/>
          <w:numId w:val="13"/>
        </w:numPr>
        <w:rPr>
          <w:rFonts w:ascii="Gill Sans MT" w:hAnsi="Gill Sans MT"/>
        </w:rPr>
      </w:pPr>
      <w:r w:rsidRPr="00683DC4">
        <w:rPr>
          <w:rFonts w:ascii="Gill Sans MT" w:hAnsi="Gill Sans MT"/>
        </w:rPr>
        <w:t>where you hold this data</w:t>
      </w:r>
    </w:p>
    <w:p w:rsidR="00683DC4" w:rsidRPr="00683DC4" w:rsidRDefault="00683DC4" w:rsidP="00683DC4">
      <w:pPr>
        <w:pStyle w:val="ListParagraph"/>
        <w:numPr>
          <w:ilvl w:val="0"/>
          <w:numId w:val="13"/>
        </w:numPr>
        <w:rPr>
          <w:rFonts w:ascii="Gill Sans MT" w:hAnsi="Gill Sans MT"/>
        </w:rPr>
      </w:pPr>
      <w:r w:rsidRPr="00683DC4">
        <w:rPr>
          <w:rFonts w:ascii="Gill Sans MT" w:hAnsi="Gill Sans MT"/>
        </w:rPr>
        <w:t>what you use the data for</w:t>
      </w:r>
    </w:p>
    <w:p w:rsidR="00683DC4" w:rsidRDefault="00683DC4" w:rsidP="00683DC4">
      <w:pPr>
        <w:pStyle w:val="ListParagraph"/>
        <w:numPr>
          <w:ilvl w:val="0"/>
          <w:numId w:val="13"/>
        </w:numPr>
        <w:rPr>
          <w:rFonts w:ascii="Gill Sans MT" w:hAnsi="Gill Sans MT"/>
        </w:rPr>
      </w:pPr>
      <w:r w:rsidRPr="00683DC4">
        <w:rPr>
          <w:rFonts w:ascii="Gill Sans MT" w:hAnsi="Gill Sans MT"/>
        </w:rPr>
        <w:t>who you share the data with.</w:t>
      </w:r>
    </w:p>
    <w:p w:rsidR="004F4223" w:rsidRDefault="004F4223" w:rsidP="00683DC4">
      <w:pPr>
        <w:rPr>
          <w:rFonts w:ascii="Gill Sans MT" w:hAnsi="Gill Sans MT"/>
        </w:rPr>
      </w:pPr>
      <w:r>
        <w:rPr>
          <w:rFonts w:ascii="Gill Sans MT" w:hAnsi="Gill Sans MT"/>
        </w:rPr>
        <w:t xml:space="preserve">We have </w:t>
      </w:r>
      <w:r w:rsidR="00D061BD">
        <w:rPr>
          <w:rFonts w:ascii="Gill Sans MT" w:hAnsi="Gill Sans MT"/>
        </w:rPr>
        <w:t>created</w:t>
      </w:r>
      <w:r>
        <w:rPr>
          <w:rFonts w:ascii="Gill Sans MT" w:hAnsi="Gill Sans MT"/>
        </w:rPr>
        <w:t xml:space="preserve"> an </w:t>
      </w:r>
      <w:r w:rsidR="00683DC4" w:rsidRPr="00683DC4">
        <w:rPr>
          <w:rFonts w:ascii="Gill Sans MT" w:hAnsi="Gill Sans MT"/>
          <w:u w:val="single"/>
        </w:rPr>
        <w:t>example</w:t>
      </w:r>
      <w:r w:rsidR="00683DC4">
        <w:rPr>
          <w:rFonts w:ascii="Gill Sans MT" w:hAnsi="Gill Sans MT"/>
        </w:rPr>
        <w:t xml:space="preserve"> data review</w:t>
      </w:r>
      <w:r>
        <w:rPr>
          <w:rFonts w:ascii="Gill Sans MT" w:hAnsi="Gill Sans MT"/>
        </w:rPr>
        <w:t xml:space="preserve">, in Appendix 1.  </w:t>
      </w:r>
      <w:r w:rsidR="00D061BD">
        <w:rPr>
          <w:rFonts w:ascii="Gill Sans MT" w:hAnsi="Gill Sans MT"/>
        </w:rPr>
        <w:t xml:space="preserve">It is only for mentee data.  </w:t>
      </w:r>
      <w:r>
        <w:rPr>
          <w:rFonts w:ascii="Gill Sans MT" w:hAnsi="Gill Sans MT"/>
        </w:rPr>
        <w:t>Please review this</w:t>
      </w:r>
      <w:r w:rsidR="004D0FAB">
        <w:rPr>
          <w:rFonts w:ascii="Gill Sans MT" w:hAnsi="Gill Sans MT"/>
        </w:rPr>
        <w:t>, and change it where necessary to make sure it is correct for your intandem service</w:t>
      </w:r>
      <w:r>
        <w:rPr>
          <w:rFonts w:ascii="Gill Sans MT" w:hAnsi="Gill Sans MT"/>
        </w:rPr>
        <w:t xml:space="preserve">.  </w:t>
      </w:r>
    </w:p>
    <w:p w:rsidR="00683DC4" w:rsidRDefault="004F4223" w:rsidP="00683DC4">
      <w:pPr>
        <w:rPr>
          <w:rFonts w:ascii="Gill Sans MT" w:hAnsi="Gill Sans MT"/>
        </w:rPr>
      </w:pPr>
      <w:r>
        <w:rPr>
          <w:rFonts w:ascii="Gill Sans MT" w:hAnsi="Gill Sans MT"/>
        </w:rPr>
        <w:t>When you understand what it is doing, please use the template GDPR Information Audit</w:t>
      </w:r>
      <w:r w:rsidR="004D0FAB">
        <w:rPr>
          <w:rFonts w:ascii="Gill Sans MT" w:hAnsi="Gill Sans MT"/>
        </w:rPr>
        <w:t xml:space="preserve"> form</w:t>
      </w:r>
      <w:r>
        <w:rPr>
          <w:rFonts w:ascii="Gill Sans MT" w:hAnsi="Gill Sans MT"/>
        </w:rPr>
        <w:t>, which can be found on the website, to create an Information Audit which is correct for your intandem service</w:t>
      </w:r>
      <w:r w:rsidR="00D061BD">
        <w:rPr>
          <w:rFonts w:ascii="Gill Sans MT" w:hAnsi="Gill Sans MT"/>
        </w:rPr>
        <w:t>, and includes the information you hold about mentors</w:t>
      </w:r>
      <w:r>
        <w:rPr>
          <w:rFonts w:ascii="Gill Sans MT" w:hAnsi="Gill Sans MT"/>
        </w:rPr>
        <w:t xml:space="preserve">. </w:t>
      </w:r>
    </w:p>
    <w:p w:rsidR="00683DC4" w:rsidRPr="00683DC4" w:rsidRDefault="00683DC4" w:rsidP="00F44A7D">
      <w:pPr>
        <w:contextualSpacing/>
        <w:rPr>
          <w:rFonts w:ascii="Gill Sans MT" w:hAnsi="Gill Sans MT"/>
          <w:u w:val="single"/>
        </w:rPr>
      </w:pPr>
      <w:r w:rsidRPr="00683DC4">
        <w:rPr>
          <w:rFonts w:ascii="Gill Sans MT" w:hAnsi="Gill Sans MT"/>
          <w:u w:val="single"/>
        </w:rPr>
        <w:t>Consent forms</w:t>
      </w:r>
    </w:p>
    <w:p w:rsidR="00683DC4" w:rsidRDefault="00683DC4" w:rsidP="00F44A7D">
      <w:pPr>
        <w:contextualSpacing/>
        <w:rPr>
          <w:rFonts w:ascii="Gill Sans MT" w:hAnsi="Gill Sans MT"/>
        </w:rPr>
      </w:pPr>
    </w:p>
    <w:p w:rsidR="005C3F82" w:rsidRDefault="005C3F82" w:rsidP="005C3F82">
      <w:pPr>
        <w:rPr>
          <w:rFonts w:ascii="Gill Sans MT" w:hAnsi="Gill Sans MT"/>
        </w:rPr>
      </w:pPr>
      <w:r>
        <w:rPr>
          <w:rFonts w:ascii="Gill Sans MT" w:hAnsi="Gill Sans MT"/>
        </w:rPr>
        <w:t xml:space="preserve">There are a number of reasons why an organisation </w:t>
      </w:r>
      <w:r w:rsidR="004D0FAB">
        <w:rPr>
          <w:rFonts w:ascii="Gill Sans MT" w:hAnsi="Gill Sans MT"/>
        </w:rPr>
        <w:t>has</w:t>
      </w:r>
      <w:r>
        <w:rPr>
          <w:rFonts w:ascii="Gill Sans MT" w:hAnsi="Gill Sans MT"/>
        </w:rPr>
        <w:t xml:space="preserve"> permission to hold personal data.  For intandem charities, the one that we will rely on is when </w:t>
      </w:r>
      <w:r w:rsidRPr="005C3F82">
        <w:rPr>
          <w:rFonts w:ascii="Gill Sans MT" w:hAnsi="Gill Sans MT"/>
        </w:rPr>
        <w:t xml:space="preserve">consent has been given.  </w:t>
      </w:r>
    </w:p>
    <w:p w:rsidR="005C3F82" w:rsidRDefault="005C3F82" w:rsidP="005C3F82">
      <w:pPr>
        <w:rPr>
          <w:rFonts w:ascii="Gill Sans MT" w:hAnsi="Gill Sans MT"/>
        </w:rPr>
      </w:pPr>
      <w:r>
        <w:rPr>
          <w:rFonts w:ascii="Gill Sans MT" w:hAnsi="Gill Sans MT"/>
        </w:rPr>
        <w:t xml:space="preserve">This means that we have to have a valid consent form from every mentor and mentee that we hold personal data on.  </w:t>
      </w:r>
      <w:r w:rsidRPr="005C3F82">
        <w:rPr>
          <w:rFonts w:ascii="Gill Sans MT" w:hAnsi="Gill Sans MT"/>
        </w:rPr>
        <w:t xml:space="preserve">  </w:t>
      </w:r>
      <w:r>
        <w:rPr>
          <w:rFonts w:ascii="Gill Sans MT" w:hAnsi="Gill Sans MT"/>
        </w:rPr>
        <w:t>As you have carried out an audit of all the information you hold about your mentees and mentors (see above)</w:t>
      </w:r>
      <w:r w:rsidR="004D0FAB">
        <w:rPr>
          <w:rFonts w:ascii="Gill Sans MT" w:hAnsi="Gill Sans MT"/>
        </w:rPr>
        <w:t>,</w:t>
      </w:r>
      <w:r>
        <w:rPr>
          <w:rFonts w:ascii="Gill Sans MT" w:hAnsi="Gill Sans MT"/>
        </w:rPr>
        <w:t xml:space="preserve"> you are in a position to make sure that your consent forms explain fully what data you will hold, why you will hold it, and who it may be shared with.</w:t>
      </w:r>
    </w:p>
    <w:p w:rsidR="005C3F82" w:rsidRDefault="005C3F82" w:rsidP="005C3F82">
      <w:pPr>
        <w:rPr>
          <w:rFonts w:ascii="Gill Sans MT" w:hAnsi="Gill Sans MT"/>
        </w:rPr>
      </w:pPr>
      <w:r>
        <w:rPr>
          <w:rFonts w:ascii="Gill Sans MT" w:hAnsi="Gill Sans MT"/>
        </w:rPr>
        <w:t>There are a number of things to be aware</w:t>
      </w:r>
      <w:r w:rsidR="0081517B">
        <w:rPr>
          <w:rFonts w:ascii="Gill Sans MT" w:hAnsi="Gill Sans MT"/>
        </w:rPr>
        <w:t xml:space="preserve"> of</w:t>
      </w:r>
      <w:r>
        <w:rPr>
          <w:rFonts w:ascii="Gill Sans MT" w:hAnsi="Gill Sans MT"/>
        </w:rPr>
        <w:t>:</w:t>
      </w:r>
    </w:p>
    <w:p w:rsidR="005C3F82" w:rsidRPr="005C3F82" w:rsidRDefault="005C3F82" w:rsidP="005C3F82">
      <w:pPr>
        <w:pStyle w:val="ListParagraph"/>
        <w:numPr>
          <w:ilvl w:val="0"/>
          <w:numId w:val="6"/>
        </w:numPr>
        <w:rPr>
          <w:rFonts w:ascii="Gill Sans MT" w:hAnsi="Gill Sans MT"/>
        </w:rPr>
      </w:pPr>
      <w:r w:rsidRPr="005C3F82">
        <w:rPr>
          <w:rFonts w:ascii="Gill Sans MT" w:hAnsi="Gill Sans MT"/>
        </w:rPr>
        <w:t>Consent must always be “informed consent” – the person you are asking to share their information with you must understand what they are being asked to do – and “freely given” – the person must not be put under any pressure to provide the information</w:t>
      </w:r>
      <w:r w:rsidR="0081517B">
        <w:rPr>
          <w:rFonts w:ascii="Gill Sans MT" w:hAnsi="Gill Sans MT"/>
        </w:rPr>
        <w:t>;</w:t>
      </w:r>
    </w:p>
    <w:p w:rsidR="005C3F82" w:rsidRDefault="005C3F82" w:rsidP="005C3F82">
      <w:pPr>
        <w:pStyle w:val="ListParagraph"/>
        <w:numPr>
          <w:ilvl w:val="0"/>
          <w:numId w:val="6"/>
        </w:numPr>
        <w:rPr>
          <w:rFonts w:ascii="Gill Sans MT" w:hAnsi="Gill Sans MT"/>
        </w:rPr>
      </w:pPr>
      <w:r>
        <w:rPr>
          <w:rFonts w:ascii="Gill Sans MT" w:hAnsi="Gill Sans MT"/>
        </w:rPr>
        <w:t>I</w:t>
      </w:r>
      <w:r w:rsidRPr="005C3F82">
        <w:rPr>
          <w:rFonts w:ascii="Gill Sans MT" w:hAnsi="Gill Sans MT"/>
        </w:rPr>
        <w:t xml:space="preserve">n Scotland, a child of 12 or over is </w:t>
      </w:r>
      <w:r>
        <w:rPr>
          <w:rFonts w:ascii="Gill Sans MT" w:hAnsi="Gill Sans MT"/>
        </w:rPr>
        <w:t xml:space="preserve">generally </w:t>
      </w:r>
      <w:r w:rsidRPr="005C3F82">
        <w:rPr>
          <w:rFonts w:ascii="Gill Sans MT" w:hAnsi="Gill Sans MT"/>
        </w:rPr>
        <w:t>deemed to have sufficient mental capacity to give informed consent</w:t>
      </w:r>
      <w:r w:rsidR="00FF5DA6">
        <w:rPr>
          <w:rFonts w:ascii="Gill Sans MT" w:hAnsi="Gill Sans MT"/>
        </w:rPr>
        <w:t>, but you will want to have evidence of the child’s age if there is any doubt about whether they are 12 or over;</w:t>
      </w:r>
    </w:p>
    <w:p w:rsidR="00FF5DA6" w:rsidRDefault="00FF5DA6" w:rsidP="005C3F82">
      <w:pPr>
        <w:pStyle w:val="ListParagraph"/>
        <w:numPr>
          <w:ilvl w:val="0"/>
          <w:numId w:val="6"/>
        </w:numPr>
        <w:rPr>
          <w:rFonts w:ascii="Gill Sans MT" w:hAnsi="Gill Sans MT"/>
        </w:rPr>
      </w:pPr>
      <w:r>
        <w:rPr>
          <w:rFonts w:ascii="Gill Sans MT" w:hAnsi="Gill Sans MT"/>
        </w:rPr>
        <w:t>When gaining consent from a child, it is particularly important to make sure that the information on the form is fully explained, and that the wording on the consent form is easily understood by a child;</w:t>
      </w:r>
    </w:p>
    <w:p w:rsidR="00FF5DA6" w:rsidRDefault="00FF5DA6" w:rsidP="005C3F82">
      <w:pPr>
        <w:pStyle w:val="ListParagraph"/>
        <w:numPr>
          <w:ilvl w:val="0"/>
          <w:numId w:val="6"/>
        </w:numPr>
        <w:rPr>
          <w:rFonts w:ascii="Gill Sans MT" w:hAnsi="Gill Sans MT"/>
        </w:rPr>
      </w:pPr>
      <w:r>
        <w:rPr>
          <w:rFonts w:ascii="Gill Sans MT" w:hAnsi="Gill Sans MT"/>
        </w:rPr>
        <w:t>It is better to have separate consent forms for children giving consent, parents/legal guardians giving consent on behalf of their child and mentors giving consent for themselves;</w:t>
      </w:r>
    </w:p>
    <w:p w:rsidR="004D0FAB" w:rsidRPr="005C3F82" w:rsidRDefault="004D0FAB" w:rsidP="005C3F82">
      <w:pPr>
        <w:pStyle w:val="ListParagraph"/>
        <w:numPr>
          <w:ilvl w:val="0"/>
          <w:numId w:val="6"/>
        </w:numPr>
        <w:rPr>
          <w:rFonts w:ascii="Gill Sans MT" w:hAnsi="Gill Sans MT"/>
        </w:rPr>
      </w:pPr>
      <w:r>
        <w:rPr>
          <w:rFonts w:ascii="Gill Sans MT" w:hAnsi="Gill Sans MT"/>
        </w:rPr>
        <w:t>Consent does not last for ever – it is best practice to renew your consents at regular intervals, and for children this should be about once a year;</w:t>
      </w:r>
    </w:p>
    <w:p w:rsidR="005C3F82" w:rsidRPr="004F4223" w:rsidRDefault="005C3F82" w:rsidP="005C3F82">
      <w:pPr>
        <w:pStyle w:val="ListParagraph"/>
        <w:numPr>
          <w:ilvl w:val="0"/>
          <w:numId w:val="6"/>
        </w:numPr>
        <w:rPr>
          <w:rFonts w:ascii="Gill Sans MT" w:hAnsi="Gill Sans MT"/>
        </w:rPr>
      </w:pPr>
      <w:r w:rsidRPr="004F4223">
        <w:rPr>
          <w:rFonts w:ascii="Gill Sans MT" w:hAnsi="Gill Sans MT"/>
        </w:rPr>
        <w:t xml:space="preserve">Information about a mentee’s family members can be held </w:t>
      </w:r>
      <w:r>
        <w:rPr>
          <w:rFonts w:ascii="Gill Sans MT" w:hAnsi="Gill Sans MT"/>
        </w:rPr>
        <w:t xml:space="preserve">without their consent – but </w:t>
      </w:r>
      <w:r w:rsidRPr="004F4223">
        <w:rPr>
          <w:rFonts w:ascii="Gill Sans MT" w:hAnsi="Gill Sans MT"/>
        </w:rPr>
        <w:t>only to the extent that it is necessary to provide an effective mentoring service for the child e.g. to undertake a risk assessment.</w:t>
      </w:r>
    </w:p>
    <w:p w:rsidR="004F4223" w:rsidRDefault="00FF5DA6" w:rsidP="00F44A7D">
      <w:pPr>
        <w:contextualSpacing/>
        <w:rPr>
          <w:rFonts w:ascii="Gill Sans MT" w:hAnsi="Gill Sans MT"/>
        </w:rPr>
      </w:pPr>
      <w:r w:rsidRPr="005C3F82">
        <w:rPr>
          <w:rFonts w:ascii="Gill Sans MT" w:hAnsi="Gill Sans MT"/>
        </w:rPr>
        <w:lastRenderedPageBreak/>
        <w:t>We have prepared consent form</w:t>
      </w:r>
      <w:r>
        <w:rPr>
          <w:rFonts w:ascii="Gill Sans MT" w:hAnsi="Gill Sans MT"/>
        </w:rPr>
        <w:t>s</w:t>
      </w:r>
      <w:r w:rsidRPr="005C3F82">
        <w:rPr>
          <w:rFonts w:ascii="Gill Sans MT" w:hAnsi="Gill Sans MT"/>
        </w:rPr>
        <w:t xml:space="preserve"> that you can use if you want</w:t>
      </w:r>
      <w:r>
        <w:rPr>
          <w:rFonts w:ascii="Gill Sans MT" w:hAnsi="Gill Sans MT"/>
        </w:rPr>
        <w:t>, but please check that the consent forms identify all the data that you may hold about your mentees and your mentors.  These consent forms are in the resources section on the intandem website.</w:t>
      </w:r>
    </w:p>
    <w:p w:rsidR="004D0FAB" w:rsidRDefault="004D0FAB" w:rsidP="00F44A7D">
      <w:pPr>
        <w:contextualSpacing/>
        <w:rPr>
          <w:rFonts w:ascii="Gill Sans MT" w:hAnsi="Gill Sans MT"/>
        </w:rPr>
      </w:pPr>
    </w:p>
    <w:p w:rsidR="005C3F82" w:rsidRPr="00FF5DA6" w:rsidRDefault="00FF5DA6" w:rsidP="005C3F82">
      <w:pPr>
        <w:contextualSpacing/>
        <w:rPr>
          <w:rFonts w:ascii="Gill Sans MT" w:hAnsi="Gill Sans MT"/>
          <w:u w:val="single"/>
        </w:rPr>
      </w:pPr>
      <w:r w:rsidRPr="00FF5DA6">
        <w:rPr>
          <w:rFonts w:ascii="Gill Sans MT" w:hAnsi="Gill Sans MT"/>
          <w:u w:val="single"/>
        </w:rPr>
        <w:t>P</w:t>
      </w:r>
      <w:r w:rsidR="005C3F82" w:rsidRPr="00FF5DA6">
        <w:rPr>
          <w:rFonts w:ascii="Gill Sans MT" w:hAnsi="Gill Sans MT"/>
          <w:u w:val="single"/>
        </w:rPr>
        <w:t>rivacy notices</w:t>
      </w:r>
    </w:p>
    <w:p w:rsidR="005C3F82" w:rsidRDefault="005C3F82" w:rsidP="00F44A7D">
      <w:pPr>
        <w:contextualSpacing/>
        <w:rPr>
          <w:rFonts w:ascii="Gill Sans MT" w:hAnsi="Gill Sans MT"/>
        </w:rPr>
      </w:pPr>
    </w:p>
    <w:p w:rsidR="00F51808" w:rsidRDefault="00F51808" w:rsidP="00D061BD">
      <w:pPr>
        <w:contextualSpacing/>
        <w:rPr>
          <w:rFonts w:ascii="Gill Sans MT" w:hAnsi="Gill Sans MT"/>
        </w:rPr>
      </w:pPr>
      <w:bookmarkStart w:id="1" w:name="_Hlk497725958"/>
      <w:r>
        <w:rPr>
          <w:rFonts w:ascii="Gill Sans MT" w:hAnsi="Gill Sans MT"/>
        </w:rPr>
        <w:t>Many organisations support their adherence to the data protection legislation with a published privacy notice, which may be given as a leaflet or made available on the organisation’s website.</w:t>
      </w:r>
    </w:p>
    <w:p w:rsidR="00F51808" w:rsidRDefault="00F51808" w:rsidP="00D061BD">
      <w:pPr>
        <w:contextualSpacing/>
        <w:rPr>
          <w:rFonts w:ascii="Gill Sans MT" w:hAnsi="Gill Sans MT"/>
        </w:rPr>
      </w:pPr>
    </w:p>
    <w:p w:rsidR="004D0FAB" w:rsidRDefault="004D0FAB" w:rsidP="00D061BD">
      <w:pPr>
        <w:contextualSpacing/>
        <w:rPr>
          <w:rFonts w:ascii="Gill Sans MT" w:hAnsi="Gill Sans MT"/>
        </w:rPr>
      </w:pPr>
      <w:r>
        <w:rPr>
          <w:rFonts w:ascii="Gill Sans MT" w:hAnsi="Gill Sans MT"/>
        </w:rPr>
        <w:t>A privacy notice is one way to make sure processing of data is fair and transparent.  Typically, a privacy notice will say:</w:t>
      </w:r>
    </w:p>
    <w:p w:rsidR="004D0FAB" w:rsidRPr="00490AAB" w:rsidRDefault="004D0FAB" w:rsidP="00490AAB">
      <w:pPr>
        <w:pStyle w:val="ListParagraph"/>
        <w:numPr>
          <w:ilvl w:val="0"/>
          <w:numId w:val="16"/>
        </w:numPr>
        <w:rPr>
          <w:rFonts w:ascii="Gill Sans MT" w:hAnsi="Gill Sans MT"/>
        </w:rPr>
      </w:pPr>
      <w:r w:rsidRPr="00490AAB">
        <w:rPr>
          <w:rFonts w:ascii="Gill Sans MT" w:hAnsi="Gill Sans MT"/>
        </w:rPr>
        <w:t xml:space="preserve">Who </w:t>
      </w:r>
      <w:r w:rsidR="00490AAB">
        <w:rPr>
          <w:rFonts w:ascii="Gill Sans MT" w:hAnsi="Gill Sans MT"/>
        </w:rPr>
        <w:t xml:space="preserve">the data controller is </w:t>
      </w:r>
    </w:p>
    <w:p w:rsidR="00490AAB" w:rsidRPr="00490AAB" w:rsidRDefault="004D0FAB" w:rsidP="00490AAB">
      <w:pPr>
        <w:pStyle w:val="ListParagraph"/>
        <w:numPr>
          <w:ilvl w:val="0"/>
          <w:numId w:val="16"/>
        </w:numPr>
        <w:rPr>
          <w:rFonts w:ascii="Gill Sans MT" w:hAnsi="Gill Sans MT"/>
        </w:rPr>
      </w:pPr>
      <w:r w:rsidRPr="00490AAB">
        <w:rPr>
          <w:rFonts w:ascii="Gill Sans MT" w:hAnsi="Gill Sans MT"/>
        </w:rPr>
        <w:t>Wh</w:t>
      </w:r>
      <w:r w:rsidR="00490AAB" w:rsidRPr="00490AAB">
        <w:rPr>
          <w:rFonts w:ascii="Gill Sans MT" w:hAnsi="Gill Sans MT"/>
        </w:rPr>
        <w:t>y the data is being processed</w:t>
      </w:r>
    </w:p>
    <w:p w:rsidR="00490AAB" w:rsidRPr="00490AAB" w:rsidRDefault="00490AAB" w:rsidP="00490AAB">
      <w:pPr>
        <w:pStyle w:val="ListParagraph"/>
        <w:numPr>
          <w:ilvl w:val="0"/>
          <w:numId w:val="16"/>
        </w:numPr>
        <w:rPr>
          <w:rFonts w:ascii="Gill Sans MT" w:hAnsi="Gill Sans MT"/>
        </w:rPr>
      </w:pPr>
      <w:r w:rsidRPr="00490AAB">
        <w:rPr>
          <w:rFonts w:ascii="Gill Sans MT" w:hAnsi="Gill Sans MT"/>
        </w:rPr>
        <w:t>Who the data may be shared with</w:t>
      </w:r>
    </w:p>
    <w:p w:rsidR="00490AAB" w:rsidRPr="00490AAB" w:rsidRDefault="00490AAB" w:rsidP="00490AAB">
      <w:pPr>
        <w:pStyle w:val="ListParagraph"/>
        <w:numPr>
          <w:ilvl w:val="0"/>
          <w:numId w:val="16"/>
        </w:numPr>
        <w:rPr>
          <w:rFonts w:ascii="Gill Sans MT" w:hAnsi="Gill Sans MT"/>
        </w:rPr>
      </w:pPr>
      <w:r w:rsidRPr="00490AAB">
        <w:rPr>
          <w:rFonts w:ascii="Gill Sans MT" w:hAnsi="Gill Sans MT"/>
        </w:rPr>
        <w:t>How long the data will be kept for</w:t>
      </w:r>
    </w:p>
    <w:p w:rsidR="00490AAB" w:rsidRPr="00490AAB" w:rsidRDefault="00490AAB" w:rsidP="00490AAB">
      <w:pPr>
        <w:pStyle w:val="ListParagraph"/>
        <w:numPr>
          <w:ilvl w:val="0"/>
          <w:numId w:val="16"/>
        </w:numPr>
        <w:rPr>
          <w:rFonts w:ascii="Gill Sans MT" w:hAnsi="Gill Sans MT"/>
        </w:rPr>
      </w:pPr>
      <w:r w:rsidRPr="00490AAB">
        <w:rPr>
          <w:rFonts w:ascii="Gill Sans MT" w:hAnsi="Gill Sans MT"/>
        </w:rPr>
        <w:t>What the person’s rights are over the data (e.g. inspection, deletion etc.)</w:t>
      </w:r>
    </w:p>
    <w:p w:rsidR="00490AAB" w:rsidRDefault="00F51808" w:rsidP="00D061BD">
      <w:pPr>
        <w:contextualSpacing/>
        <w:rPr>
          <w:rFonts w:ascii="Gill Sans MT" w:hAnsi="Gill Sans MT"/>
        </w:rPr>
      </w:pPr>
      <w:r>
        <w:rPr>
          <w:rFonts w:ascii="Gill Sans MT" w:hAnsi="Gill Sans MT"/>
        </w:rPr>
        <w:t xml:space="preserve">For the intandem services, </w:t>
      </w:r>
      <w:r w:rsidR="00490AAB">
        <w:rPr>
          <w:rFonts w:ascii="Gill Sans MT" w:hAnsi="Gill Sans MT"/>
        </w:rPr>
        <w:t xml:space="preserve">if you use the consent forms that we recommend, the consent forms are sufficiently detailed to act as privacy notices.  </w:t>
      </w:r>
    </w:p>
    <w:p w:rsidR="00F51808" w:rsidRDefault="00F51808" w:rsidP="00D061BD">
      <w:pPr>
        <w:contextualSpacing/>
        <w:rPr>
          <w:rFonts w:ascii="Gill Sans MT" w:hAnsi="Gill Sans MT"/>
        </w:rPr>
      </w:pPr>
    </w:p>
    <w:bookmarkEnd w:id="1"/>
    <w:p w:rsidR="00D061BD" w:rsidRPr="005C3F82" w:rsidRDefault="00D061BD" w:rsidP="00D061BD">
      <w:pPr>
        <w:rPr>
          <w:rFonts w:ascii="Gill Sans MT" w:hAnsi="Gill Sans MT"/>
        </w:rPr>
      </w:pPr>
      <w:r w:rsidRPr="005C3F82">
        <w:rPr>
          <w:rFonts w:ascii="Gill Sans MT" w:hAnsi="Gill Sans MT"/>
        </w:rPr>
        <w:t xml:space="preserve">An alternative is to have a simple consent form, and provide the additional relevant information in a leaflet which is discussed and left with the person who is to sign the consent form.  </w:t>
      </w:r>
    </w:p>
    <w:p w:rsidR="00D061BD" w:rsidRPr="005C3F82" w:rsidRDefault="00D061BD" w:rsidP="00D061BD">
      <w:pPr>
        <w:rPr>
          <w:rFonts w:ascii="Gill Sans MT" w:hAnsi="Gill Sans MT"/>
        </w:rPr>
      </w:pPr>
      <w:r w:rsidRPr="005C3F82">
        <w:rPr>
          <w:rFonts w:ascii="Gill Sans MT" w:hAnsi="Gill Sans MT"/>
        </w:rPr>
        <w:t>Your charity may already have a generic privacy notice which you can use – but make sure it has been updated to reflect the requirements of the new GDPR.</w:t>
      </w:r>
    </w:p>
    <w:p w:rsidR="00D061BD" w:rsidRPr="005C3F82" w:rsidRDefault="00D061BD" w:rsidP="00D061BD">
      <w:pPr>
        <w:rPr>
          <w:rFonts w:ascii="Gill Sans MT" w:hAnsi="Gill Sans MT"/>
        </w:rPr>
      </w:pPr>
      <w:r w:rsidRPr="005C3F82">
        <w:rPr>
          <w:rFonts w:ascii="Gill Sans MT" w:hAnsi="Gill Sans MT"/>
        </w:rPr>
        <w:t>You should decide which approach suits your children and their parents/legal guardians best; you might decide it is a mixture of the two.</w:t>
      </w:r>
    </w:p>
    <w:p w:rsidR="00D061BD" w:rsidRPr="005C3F82" w:rsidRDefault="00D061BD" w:rsidP="00D061BD">
      <w:pPr>
        <w:rPr>
          <w:rFonts w:ascii="Gill Sans MT" w:hAnsi="Gill Sans MT"/>
        </w:rPr>
      </w:pPr>
      <w:r w:rsidRPr="005C3F82">
        <w:rPr>
          <w:rFonts w:ascii="Gill Sans MT" w:hAnsi="Gill Sans MT"/>
        </w:rPr>
        <w:t>Finally</w:t>
      </w:r>
      <w:r w:rsidR="00490AAB">
        <w:rPr>
          <w:rFonts w:ascii="Gill Sans MT" w:hAnsi="Gill Sans MT"/>
        </w:rPr>
        <w:t>, r</w:t>
      </w:r>
      <w:r w:rsidRPr="005C3F82">
        <w:rPr>
          <w:rFonts w:ascii="Gill Sans MT" w:hAnsi="Gill Sans MT"/>
        </w:rPr>
        <w:t xml:space="preserve">emember that there are occasions, </w:t>
      </w:r>
      <w:proofErr w:type="spellStart"/>
      <w:r w:rsidRPr="005C3F82">
        <w:rPr>
          <w:rFonts w:ascii="Gill Sans MT" w:hAnsi="Gill Sans MT"/>
        </w:rPr>
        <w:t>eg</w:t>
      </w:r>
      <w:proofErr w:type="spellEnd"/>
      <w:r w:rsidRPr="005C3F82">
        <w:rPr>
          <w:rFonts w:ascii="Gill Sans MT" w:hAnsi="Gill Sans MT"/>
        </w:rPr>
        <w:t xml:space="preserve"> when there is a risk to a child’s wellbeing, where information may need to be shared without gaining consent.  In these situations, make sure that the information is relevant and proportionate.</w:t>
      </w:r>
    </w:p>
    <w:p w:rsidR="00D061BD" w:rsidRPr="00490AAB" w:rsidRDefault="00490AAB" w:rsidP="00D061BD">
      <w:pPr>
        <w:rPr>
          <w:rFonts w:ascii="Gill Sans MT" w:hAnsi="Gill Sans MT"/>
          <w:u w:val="single"/>
        </w:rPr>
      </w:pPr>
      <w:r w:rsidRPr="00490AAB">
        <w:rPr>
          <w:rFonts w:ascii="Gill Sans MT" w:hAnsi="Gill Sans MT"/>
          <w:u w:val="single"/>
        </w:rPr>
        <w:t>T</w:t>
      </w:r>
      <w:r w:rsidR="00D061BD" w:rsidRPr="00490AAB">
        <w:rPr>
          <w:rFonts w:ascii="Gill Sans MT" w:hAnsi="Gill Sans MT"/>
          <w:u w:val="single"/>
        </w:rPr>
        <w:t xml:space="preserve">he </w:t>
      </w:r>
      <w:r w:rsidRPr="00490AAB">
        <w:rPr>
          <w:rFonts w:ascii="Gill Sans MT" w:hAnsi="Gill Sans MT"/>
          <w:u w:val="single"/>
        </w:rPr>
        <w:t xml:space="preserve">rights of the individuals whose data you </w:t>
      </w:r>
      <w:r>
        <w:rPr>
          <w:rFonts w:ascii="Gill Sans MT" w:hAnsi="Gill Sans MT"/>
          <w:u w:val="single"/>
        </w:rPr>
        <w:t>hold</w:t>
      </w:r>
    </w:p>
    <w:p w:rsidR="00D061BD" w:rsidRPr="005C3F82" w:rsidRDefault="00D061BD" w:rsidP="00D061BD">
      <w:pPr>
        <w:rPr>
          <w:rFonts w:ascii="Gill Sans MT" w:hAnsi="Gill Sans MT"/>
        </w:rPr>
      </w:pPr>
      <w:r w:rsidRPr="005C3F82">
        <w:rPr>
          <w:rFonts w:ascii="Gill Sans MT" w:hAnsi="Gill Sans MT"/>
        </w:rPr>
        <w:t xml:space="preserve">Individuals that you hold data about have a number of rights, and the most important for you are listed here.  </w:t>
      </w:r>
    </w:p>
    <w:p w:rsidR="00D061BD" w:rsidRPr="005C3F82" w:rsidRDefault="00D061BD" w:rsidP="00D061BD">
      <w:pPr>
        <w:pStyle w:val="ListParagraph"/>
        <w:numPr>
          <w:ilvl w:val="0"/>
          <w:numId w:val="9"/>
        </w:numPr>
        <w:rPr>
          <w:rFonts w:ascii="Gill Sans MT" w:hAnsi="Gill Sans MT"/>
        </w:rPr>
      </w:pPr>
      <w:r w:rsidRPr="005C3F82">
        <w:rPr>
          <w:rFonts w:ascii="Gill Sans MT" w:hAnsi="Gill Sans MT"/>
          <w:u w:val="single"/>
        </w:rPr>
        <w:t>People have a right to see the data you hold about them</w:t>
      </w:r>
      <w:r w:rsidRPr="005C3F82">
        <w:rPr>
          <w:rFonts w:ascii="Gill Sans MT" w:hAnsi="Gill Sans MT"/>
        </w:rPr>
        <w:t>: are your files organised so that you can provide access to the data you hold on the mentees and the volunteers?  The GDPR says that information must be provided without delay and at the latest within one month.</w:t>
      </w:r>
    </w:p>
    <w:p w:rsidR="00D061BD" w:rsidRPr="005C3F82" w:rsidRDefault="00D061BD" w:rsidP="00D061BD">
      <w:pPr>
        <w:pStyle w:val="ListParagraph"/>
        <w:numPr>
          <w:ilvl w:val="0"/>
          <w:numId w:val="9"/>
        </w:numPr>
        <w:rPr>
          <w:rFonts w:ascii="Gill Sans MT" w:hAnsi="Gill Sans MT"/>
        </w:rPr>
      </w:pPr>
      <w:r w:rsidRPr="005C3F82">
        <w:rPr>
          <w:rFonts w:ascii="Gill Sans MT" w:hAnsi="Gill Sans MT"/>
          <w:u w:val="single"/>
        </w:rPr>
        <w:t>People can ask for their data to be deleted:</w:t>
      </w:r>
      <w:r w:rsidRPr="005C3F82">
        <w:rPr>
          <w:rFonts w:ascii="Gill Sans MT" w:hAnsi="Gill Sans MT"/>
        </w:rPr>
        <w:t xml:space="preserve"> while you are providing mentoring, you would have a justification for not deleting their data, but once the mentoring is over, they could ask for their data to be deleted.  Are your files organised so that you know you can delete all the information you hold about a mentee or a volunteer?</w:t>
      </w:r>
    </w:p>
    <w:p w:rsidR="00D061BD" w:rsidRPr="005C3F82" w:rsidRDefault="00D061BD" w:rsidP="00D061BD">
      <w:pPr>
        <w:pStyle w:val="ListParagraph"/>
        <w:numPr>
          <w:ilvl w:val="0"/>
          <w:numId w:val="9"/>
        </w:numPr>
        <w:rPr>
          <w:rFonts w:ascii="Gill Sans MT" w:hAnsi="Gill Sans MT"/>
        </w:rPr>
      </w:pPr>
      <w:r w:rsidRPr="005C3F82">
        <w:rPr>
          <w:rFonts w:ascii="Gill Sans MT" w:hAnsi="Gill Sans MT"/>
          <w:u w:val="single"/>
        </w:rPr>
        <w:t>Personal data must be kept securely:</w:t>
      </w:r>
      <w:r w:rsidRPr="005C3F82">
        <w:rPr>
          <w:rFonts w:ascii="Gill Sans MT" w:hAnsi="Gill Sans MT"/>
        </w:rPr>
        <w:t xml:space="preserve"> if you use a filing cabinet to store personal records, is it locked?  If data is held electronically, are the passwords strong enough that they can’t be guessed?</w:t>
      </w:r>
    </w:p>
    <w:p w:rsidR="00C16810" w:rsidRDefault="00C16810">
      <w:pPr>
        <w:rPr>
          <w:u w:val="single"/>
        </w:rPr>
      </w:pPr>
    </w:p>
    <w:p w:rsidR="00E5495C" w:rsidRDefault="00E5495C" w:rsidP="00BC7FF2">
      <w:pPr>
        <w:sectPr w:rsidR="00E5495C" w:rsidSect="00A63F70">
          <w:footerReference w:type="default" r:id="rId8"/>
          <w:pgSz w:w="11906" w:h="16838"/>
          <w:pgMar w:top="1440" w:right="1440" w:bottom="1440" w:left="1440" w:header="709" w:footer="709" w:gutter="0"/>
          <w:cols w:space="708"/>
          <w:docGrid w:linePitch="360"/>
        </w:sectPr>
      </w:pPr>
    </w:p>
    <w:p w:rsidR="0042754B" w:rsidRDefault="00D061BD" w:rsidP="00BC7FF2">
      <w:r>
        <w:lastRenderedPageBreak/>
        <w:t>Appendix 1: Example of an Information Audit for an intandem service – for mentee data</w:t>
      </w:r>
    </w:p>
    <w:p w:rsidR="00EA4152" w:rsidRDefault="00EA4152" w:rsidP="001F2FC5"/>
    <w:tbl>
      <w:tblPr>
        <w:tblStyle w:val="TableGrid"/>
        <w:tblW w:w="14602" w:type="dxa"/>
        <w:tblLook w:val="04A0" w:firstRow="1" w:lastRow="0" w:firstColumn="1" w:lastColumn="0" w:noHBand="0" w:noVBand="1"/>
      </w:tblPr>
      <w:tblGrid>
        <w:gridCol w:w="2611"/>
        <w:gridCol w:w="1637"/>
        <w:gridCol w:w="2835"/>
        <w:gridCol w:w="2558"/>
        <w:gridCol w:w="4961"/>
      </w:tblGrid>
      <w:tr w:rsidR="004F4223" w:rsidTr="00D061BD">
        <w:tc>
          <w:tcPr>
            <w:tcW w:w="2611" w:type="dxa"/>
          </w:tcPr>
          <w:p w:rsidR="004F4223" w:rsidRDefault="004F4223" w:rsidP="004F4223">
            <w:r>
              <w:t>Data</w:t>
            </w:r>
          </w:p>
        </w:tc>
        <w:tc>
          <w:tcPr>
            <w:tcW w:w="1637" w:type="dxa"/>
          </w:tcPr>
          <w:p w:rsidR="004F4223" w:rsidRDefault="004F4223" w:rsidP="004F4223">
            <w:r>
              <w:t>Source(s)</w:t>
            </w:r>
          </w:p>
        </w:tc>
        <w:tc>
          <w:tcPr>
            <w:tcW w:w="2835" w:type="dxa"/>
          </w:tcPr>
          <w:p w:rsidR="004F4223" w:rsidRDefault="004F4223" w:rsidP="004F4223">
            <w:r>
              <w:t>Where data held</w:t>
            </w:r>
          </w:p>
        </w:tc>
        <w:tc>
          <w:tcPr>
            <w:tcW w:w="2558" w:type="dxa"/>
          </w:tcPr>
          <w:p w:rsidR="004F4223" w:rsidRDefault="004F4223" w:rsidP="004F4223">
            <w:r>
              <w:t>Used for</w:t>
            </w:r>
          </w:p>
        </w:tc>
        <w:tc>
          <w:tcPr>
            <w:tcW w:w="4961" w:type="dxa"/>
          </w:tcPr>
          <w:p w:rsidR="004F4223" w:rsidRDefault="004F4223" w:rsidP="004F4223">
            <w:r>
              <w:t>Shared with</w:t>
            </w:r>
          </w:p>
        </w:tc>
      </w:tr>
      <w:tr w:rsidR="004F4223" w:rsidTr="00D061BD">
        <w:tc>
          <w:tcPr>
            <w:tcW w:w="2611" w:type="dxa"/>
          </w:tcPr>
          <w:p w:rsidR="004F4223" w:rsidRDefault="004F4223" w:rsidP="004F4223">
            <w:r>
              <w:t>Mentee name, age, gender, ethnicity, school interests</w:t>
            </w:r>
          </w:p>
        </w:tc>
        <w:tc>
          <w:tcPr>
            <w:tcW w:w="1637" w:type="dxa"/>
          </w:tcPr>
          <w:p w:rsidR="004F4223" w:rsidRDefault="004F4223" w:rsidP="00D061BD">
            <w:pPr>
              <w:pStyle w:val="ListParagraph"/>
              <w:numPr>
                <w:ilvl w:val="0"/>
                <w:numId w:val="14"/>
              </w:numPr>
              <w:ind w:left="113" w:hanging="170"/>
            </w:pPr>
            <w:r>
              <w:t>Referral form;</w:t>
            </w:r>
          </w:p>
          <w:p w:rsidR="004F4223" w:rsidRDefault="004F4223" w:rsidP="00D061BD">
            <w:pPr>
              <w:pStyle w:val="ListParagraph"/>
              <w:numPr>
                <w:ilvl w:val="0"/>
                <w:numId w:val="14"/>
              </w:numPr>
              <w:ind w:left="113" w:hanging="170"/>
            </w:pPr>
            <w:r>
              <w:t>Mentee</w:t>
            </w:r>
          </w:p>
        </w:tc>
        <w:tc>
          <w:tcPr>
            <w:tcW w:w="2835" w:type="dxa"/>
          </w:tcPr>
          <w:p w:rsidR="004F4223" w:rsidRDefault="004F4223" w:rsidP="00D061BD">
            <w:pPr>
              <w:pStyle w:val="ListParagraph"/>
              <w:numPr>
                <w:ilvl w:val="0"/>
                <w:numId w:val="14"/>
              </w:numPr>
              <w:ind w:left="113" w:hanging="170"/>
            </w:pPr>
            <w:r>
              <w:t>Personal file;</w:t>
            </w:r>
          </w:p>
          <w:p w:rsidR="004F4223" w:rsidRDefault="004F4223" w:rsidP="00D061BD">
            <w:pPr>
              <w:pStyle w:val="ListParagraph"/>
              <w:numPr>
                <w:ilvl w:val="0"/>
                <w:numId w:val="14"/>
              </w:numPr>
              <w:ind w:left="113" w:hanging="170"/>
            </w:pPr>
            <w:r>
              <w:t>Client management system;</w:t>
            </w:r>
          </w:p>
          <w:p w:rsidR="004F4223" w:rsidRDefault="004F4223" w:rsidP="00D061BD">
            <w:pPr>
              <w:pStyle w:val="ListParagraph"/>
              <w:numPr>
                <w:ilvl w:val="0"/>
                <w:numId w:val="14"/>
              </w:numPr>
              <w:ind w:left="113" w:hanging="170"/>
            </w:pPr>
            <w:r>
              <w:t>Viewpoint</w:t>
            </w:r>
          </w:p>
        </w:tc>
        <w:tc>
          <w:tcPr>
            <w:tcW w:w="2558" w:type="dxa"/>
          </w:tcPr>
          <w:p w:rsidR="004F4223" w:rsidRDefault="004F4223" w:rsidP="00D061BD">
            <w:pPr>
              <w:pStyle w:val="ListParagraph"/>
              <w:numPr>
                <w:ilvl w:val="0"/>
                <w:numId w:val="14"/>
              </w:numPr>
              <w:ind w:left="113" w:hanging="170"/>
            </w:pPr>
            <w:r>
              <w:t xml:space="preserve">Matching with mentor; </w:t>
            </w:r>
          </w:p>
          <w:p w:rsidR="004F4223" w:rsidRDefault="004F4223" w:rsidP="00D061BD">
            <w:pPr>
              <w:pStyle w:val="ListParagraph"/>
              <w:numPr>
                <w:ilvl w:val="0"/>
                <w:numId w:val="14"/>
              </w:numPr>
              <w:ind w:left="113" w:hanging="170"/>
            </w:pPr>
            <w:r>
              <w:t xml:space="preserve">Writing case studies; </w:t>
            </w:r>
          </w:p>
          <w:p w:rsidR="004F4223" w:rsidRDefault="004F4223" w:rsidP="00D061BD">
            <w:pPr>
              <w:pStyle w:val="ListParagraph"/>
              <w:numPr>
                <w:ilvl w:val="0"/>
                <w:numId w:val="14"/>
              </w:numPr>
              <w:ind w:left="113" w:hanging="170"/>
            </w:pPr>
            <w:r>
              <w:t>Profiling all mentees</w:t>
            </w:r>
          </w:p>
        </w:tc>
        <w:tc>
          <w:tcPr>
            <w:tcW w:w="4961" w:type="dxa"/>
          </w:tcPr>
          <w:p w:rsidR="004F4223" w:rsidRDefault="004F4223" w:rsidP="004F4223">
            <w:pPr>
              <w:pStyle w:val="ListParagraph"/>
              <w:numPr>
                <w:ilvl w:val="0"/>
                <w:numId w:val="14"/>
              </w:numPr>
              <w:ind w:left="113" w:hanging="170"/>
            </w:pPr>
            <w:r>
              <w:t>Mentor;</w:t>
            </w:r>
          </w:p>
          <w:p w:rsidR="004F4223" w:rsidRDefault="004F4223" w:rsidP="004F4223">
            <w:pPr>
              <w:pStyle w:val="ListParagraph"/>
              <w:numPr>
                <w:ilvl w:val="0"/>
                <w:numId w:val="14"/>
              </w:numPr>
              <w:ind w:left="113" w:hanging="170"/>
            </w:pPr>
            <w:r>
              <w:t>SG/stakeholders/public (anonymised; in analysis)</w:t>
            </w:r>
          </w:p>
        </w:tc>
      </w:tr>
      <w:tr w:rsidR="004F4223" w:rsidTr="00D061BD">
        <w:tc>
          <w:tcPr>
            <w:tcW w:w="2611" w:type="dxa"/>
          </w:tcPr>
          <w:p w:rsidR="004F4223" w:rsidRDefault="004F4223" w:rsidP="004F4223">
            <w:r>
              <w:t>Mentee wellbeing, behaviour and areas of risk</w:t>
            </w:r>
          </w:p>
        </w:tc>
        <w:tc>
          <w:tcPr>
            <w:tcW w:w="1637" w:type="dxa"/>
          </w:tcPr>
          <w:p w:rsidR="004F4223" w:rsidRDefault="004F4223" w:rsidP="00D061BD">
            <w:pPr>
              <w:pStyle w:val="ListParagraph"/>
              <w:numPr>
                <w:ilvl w:val="0"/>
                <w:numId w:val="14"/>
              </w:numPr>
              <w:ind w:left="113" w:hanging="170"/>
            </w:pPr>
            <w:r>
              <w:t>Referral form</w:t>
            </w:r>
          </w:p>
        </w:tc>
        <w:tc>
          <w:tcPr>
            <w:tcW w:w="2835" w:type="dxa"/>
          </w:tcPr>
          <w:p w:rsidR="004F4223" w:rsidRDefault="004F4223" w:rsidP="00D061BD">
            <w:pPr>
              <w:pStyle w:val="ListParagraph"/>
              <w:numPr>
                <w:ilvl w:val="0"/>
                <w:numId w:val="14"/>
              </w:numPr>
              <w:ind w:left="113" w:hanging="170"/>
            </w:pPr>
            <w:r>
              <w:t>Personal file;</w:t>
            </w:r>
          </w:p>
          <w:p w:rsidR="004F4223" w:rsidRDefault="004F4223" w:rsidP="00D061BD">
            <w:pPr>
              <w:pStyle w:val="ListParagraph"/>
              <w:numPr>
                <w:ilvl w:val="0"/>
                <w:numId w:val="14"/>
              </w:numPr>
              <w:ind w:left="113" w:hanging="170"/>
            </w:pPr>
            <w:r>
              <w:t>Client management system;</w:t>
            </w:r>
          </w:p>
          <w:p w:rsidR="004F4223" w:rsidRDefault="004F4223" w:rsidP="00D061BD">
            <w:pPr>
              <w:pStyle w:val="ListParagraph"/>
              <w:numPr>
                <w:ilvl w:val="0"/>
                <w:numId w:val="14"/>
              </w:numPr>
              <w:ind w:left="113" w:hanging="170"/>
            </w:pPr>
            <w:r>
              <w:t>Viewpoint</w:t>
            </w:r>
          </w:p>
        </w:tc>
        <w:tc>
          <w:tcPr>
            <w:tcW w:w="2558" w:type="dxa"/>
          </w:tcPr>
          <w:p w:rsidR="004F4223" w:rsidRDefault="004F4223" w:rsidP="00D061BD">
            <w:pPr>
              <w:pStyle w:val="ListParagraph"/>
              <w:numPr>
                <w:ilvl w:val="0"/>
                <w:numId w:val="14"/>
              </w:numPr>
              <w:ind w:left="113" w:hanging="170"/>
            </w:pPr>
            <w:r>
              <w:t xml:space="preserve">Matching with mentor; </w:t>
            </w:r>
          </w:p>
          <w:p w:rsidR="004F4223" w:rsidRDefault="004F4223" w:rsidP="00D061BD">
            <w:pPr>
              <w:pStyle w:val="ListParagraph"/>
              <w:numPr>
                <w:ilvl w:val="0"/>
                <w:numId w:val="14"/>
              </w:numPr>
              <w:ind w:left="113" w:hanging="170"/>
            </w:pPr>
            <w:r>
              <w:t xml:space="preserve">Writing case studies; </w:t>
            </w:r>
          </w:p>
          <w:p w:rsidR="004F4223" w:rsidRDefault="004F4223" w:rsidP="00D061BD">
            <w:pPr>
              <w:pStyle w:val="ListParagraph"/>
              <w:numPr>
                <w:ilvl w:val="0"/>
                <w:numId w:val="14"/>
              </w:numPr>
              <w:ind w:left="113" w:hanging="170"/>
            </w:pPr>
            <w:r>
              <w:t>Managing the match</w:t>
            </w:r>
          </w:p>
        </w:tc>
        <w:tc>
          <w:tcPr>
            <w:tcW w:w="4961" w:type="dxa"/>
          </w:tcPr>
          <w:p w:rsidR="004F4223" w:rsidRDefault="004F4223" w:rsidP="00D061BD">
            <w:pPr>
              <w:pStyle w:val="ListParagraph"/>
              <w:numPr>
                <w:ilvl w:val="0"/>
                <w:numId w:val="14"/>
              </w:numPr>
              <w:ind w:left="113" w:hanging="170"/>
            </w:pPr>
            <w:r>
              <w:t>Mentor;</w:t>
            </w:r>
          </w:p>
          <w:p w:rsidR="004F4223" w:rsidRDefault="004F4223" w:rsidP="00D061BD">
            <w:pPr>
              <w:pStyle w:val="ListParagraph"/>
              <w:numPr>
                <w:ilvl w:val="0"/>
                <w:numId w:val="14"/>
              </w:numPr>
              <w:ind w:left="113" w:hanging="170"/>
            </w:pPr>
            <w:r>
              <w:t>SG/stakeholders/public (anonymised; in analysis)</w:t>
            </w:r>
          </w:p>
        </w:tc>
      </w:tr>
      <w:tr w:rsidR="004F4223" w:rsidTr="00D061BD">
        <w:tc>
          <w:tcPr>
            <w:tcW w:w="2611" w:type="dxa"/>
          </w:tcPr>
          <w:p w:rsidR="004F4223" w:rsidRDefault="004F4223" w:rsidP="004F4223">
            <w:bookmarkStart w:id="2" w:name="_Hlk496109532"/>
            <w:r>
              <w:t>Mentee confidence, self-esteem, social circles and community engagement</w:t>
            </w:r>
          </w:p>
        </w:tc>
        <w:tc>
          <w:tcPr>
            <w:tcW w:w="1637" w:type="dxa"/>
          </w:tcPr>
          <w:p w:rsidR="004F4223" w:rsidRDefault="004F4223" w:rsidP="00D061BD">
            <w:pPr>
              <w:pStyle w:val="ListParagraph"/>
              <w:numPr>
                <w:ilvl w:val="0"/>
                <w:numId w:val="14"/>
              </w:numPr>
              <w:ind w:left="113" w:hanging="170"/>
            </w:pPr>
            <w:r>
              <w:t>Mentee</w:t>
            </w:r>
          </w:p>
        </w:tc>
        <w:tc>
          <w:tcPr>
            <w:tcW w:w="2835" w:type="dxa"/>
          </w:tcPr>
          <w:p w:rsidR="004F4223" w:rsidRDefault="004F4223" w:rsidP="00D061BD">
            <w:pPr>
              <w:pStyle w:val="ListParagraph"/>
              <w:numPr>
                <w:ilvl w:val="0"/>
                <w:numId w:val="14"/>
              </w:numPr>
              <w:ind w:left="113" w:hanging="170"/>
            </w:pPr>
            <w:r>
              <w:t>Viewpoint</w:t>
            </w:r>
          </w:p>
        </w:tc>
        <w:tc>
          <w:tcPr>
            <w:tcW w:w="2558" w:type="dxa"/>
          </w:tcPr>
          <w:p w:rsidR="004F4223" w:rsidRDefault="004F4223" w:rsidP="00D061BD">
            <w:pPr>
              <w:pStyle w:val="ListParagraph"/>
              <w:numPr>
                <w:ilvl w:val="0"/>
                <w:numId w:val="14"/>
              </w:numPr>
              <w:ind w:left="113" w:hanging="170"/>
            </w:pPr>
            <w:r>
              <w:t>Measuring progress;</w:t>
            </w:r>
          </w:p>
          <w:p w:rsidR="004F4223" w:rsidRDefault="004F4223" w:rsidP="00D061BD">
            <w:pPr>
              <w:pStyle w:val="ListParagraph"/>
              <w:numPr>
                <w:ilvl w:val="0"/>
                <w:numId w:val="14"/>
              </w:numPr>
              <w:ind w:left="113" w:hanging="170"/>
            </w:pPr>
            <w:r>
              <w:t>Writing case studies</w:t>
            </w:r>
          </w:p>
        </w:tc>
        <w:tc>
          <w:tcPr>
            <w:tcW w:w="4961" w:type="dxa"/>
          </w:tcPr>
          <w:p w:rsidR="004F4223" w:rsidRDefault="004F4223" w:rsidP="00D061BD">
            <w:pPr>
              <w:pStyle w:val="ListParagraph"/>
              <w:numPr>
                <w:ilvl w:val="0"/>
                <w:numId w:val="14"/>
              </w:numPr>
              <w:ind w:left="113" w:hanging="170"/>
            </w:pPr>
            <w:r>
              <w:t>Mentor;</w:t>
            </w:r>
          </w:p>
          <w:p w:rsidR="004F4223" w:rsidRDefault="004F4223" w:rsidP="00D061BD">
            <w:pPr>
              <w:pStyle w:val="ListParagraph"/>
              <w:numPr>
                <w:ilvl w:val="0"/>
                <w:numId w:val="14"/>
              </w:numPr>
              <w:ind w:left="113" w:hanging="170"/>
            </w:pPr>
            <w:r>
              <w:t>LAC reviews and hearings;</w:t>
            </w:r>
          </w:p>
          <w:p w:rsidR="004F4223" w:rsidRDefault="004F4223" w:rsidP="00D061BD">
            <w:pPr>
              <w:pStyle w:val="ListParagraph"/>
              <w:numPr>
                <w:ilvl w:val="0"/>
                <w:numId w:val="14"/>
              </w:numPr>
              <w:ind w:left="113" w:hanging="170"/>
            </w:pPr>
            <w:r>
              <w:t>intandem (anonymised);</w:t>
            </w:r>
          </w:p>
          <w:p w:rsidR="004F4223" w:rsidRDefault="004F4223" w:rsidP="00D061BD">
            <w:pPr>
              <w:pStyle w:val="ListParagraph"/>
              <w:numPr>
                <w:ilvl w:val="0"/>
                <w:numId w:val="14"/>
              </w:numPr>
              <w:ind w:left="113" w:hanging="170"/>
            </w:pPr>
            <w:r>
              <w:t>SG/stakeholders/public (anonymised; in analysis)</w:t>
            </w:r>
          </w:p>
        </w:tc>
      </w:tr>
      <w:tr w:rsidR="00D061BD" w:rsidTr="00D061BD">
        <w:tc>
          <w:tcPr>
            <w:tcW w:w="2611" w:type="dxa"/>
          </w:tcPr>
          <w:p w:rsidR="00D061BD" w:rsidRDefault="00D061BD" w:rsidP="004F4223">
            <w:r>
              <w:t>Mentee goals and progress towards achievement</w:t>
            </w:r>
          </w:p>
        </w:tc>
        <w:tc>
          <w:tcPr>
            <w:tcW w:w="1637" w:type="dxa"/>
          </w:tcPr>
          <w:p w:rsidR="00D061BD" w:rsidRDefault="00D061BD" w:rsidP="00D061BD">
            <w:pPr>
              <w:pStyle w:val="ListParagraph"/>
              <w:numPr>
                <w:ilvl w:val="0"/>
                <w:numId w:val="14"/>
              </w:numPr>
              <w:ind w:left="113" w:hanging="170"/>
            </w:pPr>
            <w:r>
              <w:t>Mentor</w:t>
            </w:r>
          </w:p>
        </w:tc>
        <w:tc>
          <w:tcPr>
            <w:tcW w:w="2835" w:type="dxa"/>
          </w:tcPr>
          <w:p w:rsidR="00D061BD" w:rsidRDefault="00D061BD" w:rsidP="00D061BD">
            <w:pPr>
              <w:pStyle w:val="ListParagraph"/>
              <w:numPr>
                <w:ilvl w:val="0"/>
                <w:numId w:val="14"/>
              </w:numPr>
              <w:ind w:left="113" w:hanging="170"/>
            </w:pPr>
            <w:r>
              <w:t>Personal file</w:t>
            </w:r>
          </w:p>
          <w:p w:rsidR="00D061BD" w:rsidRDefault="00D061BD" w:rsidP="00D061BD">
            <w:pPr>
              <w:pStyle w:val="ListParagraph"/>
              <w:numPr>
                <w:ilvl w:val="0"/>
                <w:numId w:val="14"/>
              </w:numPr>
              <w:ind w:left="113" w:hanging="170"/>
            </w:pPr>
            <w:r>
              <w:t>Viewpoint</w:t>
            </w:r>
          </w:p>
        </w:tc>
        <w:tc>
          <w:tcPr>
            <w:tcW w:w="2558" w:type="dxa"/>
          </w:tcPr>
          <w:p w:rsidR="00D061BD" w:rsidRDefault="00D061BD" w:rsidP="00D061BD">
            <w:pPr>
              <w:pStyle w:val="ListParagraph"/>
              <w:numPr>
                <w:ilvl w:val="0"/>
                <w:numId w:val="14"/>
              </w:numPr>
              <w:ind w:left="113" w:hanging="170"/>
            </w:pPr>
            <w:r>
              <w:t>Measuring progress;</w:t>
            </w:r>
          </w:p>
          <w:p w:rsidR="00D061BD" w:rsidRDefault="00D061BD" w:rsidP="00D061BD">
            <w:pPr>
              <w:pStyle w:val="ListParagraph"/>
              <w:numPr>
                <w:ilvl w:val="0"/>
                <w:numId w:val="14"/>
              </w:numPr>
              <w:ind w:left="113" w:hanging="170"/>
            </w:pPr>
            <w:r>
              <w:t>Writing case studies</w:t>
            </w:r>
          </w:p>
        </w:tc>
        <w:tc>
          <w:tcPr>
            <w:tcW w:w="4961" w:type="dxa"/>
          </w:tcPr>
          <w:p w:rsidR="00D061BD" w:rsidRDefault="00D061BD" w:rsidP="00D061BD">
            <w:pPr>
              <w:pStyle w:val="ListParagraph"/>
              <w:numPr>
                <w:ilvl w:val="0"/>
                <w:numId w:val="14"/>
              </w:numPr>
              <w:ind w:left="113" w:hanging="170"/>
            </w:pPr>
            <w:r>
              <w:t>Mentor;</w:t>
            </w:r>
          </w:p>
          <w:p w:rsidR="00D061BD" w:rsidRDefault="00D061BD" w:rsidP="00D061BD">
            <w:pPr>
              <w:pStyle w:val="ListParagraph"/>
              <w:numPr>
                <w:ilvl w:val="0"/>
                <w:numId w:val="14"/>
              </w:numPr>
              <w:ind w:left="113" w:hanging="170"/>
            </w:pPr>
            <w:r>
              <w:t>LAC reviews and hearings;</w:t>
            </w:r>
          </w:p>
          <w:p w:rsidR="00D061BD" w:rsidRDefault="00D061BD" w:rsidP="00D061BD">
            <w:pPr>
              <w:pStyle w:val="ListParagraph"/>
              <w:numPr>
                <w:ilvl w:val="0"/>
                <w:numId w:val="14"/>
              </w:numPr>
              <w:ind w:left="113" w:hanging="170"/>
            </w:pPr>
            <w:r>
              <w:t>intandem (anonymised);</w:t>
            </w:r>
          </w:p>
          <w:p w:rsidR="00D061BD" w:rsidRDefault="00D061BD" w:rsidP="00D061BD">
            <w:pPr>
              <w:pStyle w:val="ListParagraph"/>
              <w:numPr>
                <w:ilvl w:val="0"/>
                <w:numId w:val="14"/>
              </w:numPr>
              <w:ind w:left="113" w:hanging="170"/>
            </w:pPr>
            <w:r>
              <w:t>SG/stakeholders/public (anonymised; in analysis)</w:t>
            </w:r>
          </w:p>
        </w:tc>
      </w:tr>
      <w:bookmarkEnd w:id="2"/>
      <w:tr w:rsidR="004F4223" w:rsidTr="00D061BD">
        <w:tc>
          <w:tcPr>
            <w:tcW w:w="2611" w:type="dxa"/>
          </w:tcPr>
          <w:p w:rsidR="004F4223" w:rsidRDefault="004F4223" w:rsidP="004F4223">
            <w:r>
              <w:t>Mentee meetings with mentor: date, activities, behaviour</w:t>
            </w:r>
          </w:p>
        </w:tc>
        <w:tc>
          <w:tcPr>
            <w:tcW w:w="1637" w:type="dxa"/>
          </w:tcPr>
          <w:p w:rsidR="004F4223" w:rsidRDefault="004F4223" w:rsidP="00D061BD">
            <w:pPr>
              <w:pStyle w:val="ListParagraph"/>
              <w:numPr>
                <w:ilvl w:val="0"/>
                <w:numId w:val="14"/>
              </w:numPr>
              <w:ind w:left="113" w:hanging="170"/>
            </w:pPr>
            <w:r>
              <w:t>Mentor</w:t>
            </w:r>
          </w:p>
        </w:tc>
        <w:tc>
          <w:tcPr>
            <w:tcW w:w="2835" w:type="dxa"/>
          </w:tcPr>
          <w:p w:rsidR="004F4223" w:rsidRDefault="004F4223" w:rsidP="00D061BD">
            <w:pPr>
              <w:pStyle w:val="ListParagraph"/>
              <w:numPr>
                <w:ilvl w:val="0"/>
                <w:numId w:val="14"/>
              </w:numPr>
              <w:ind w:left="113" w:hanging="170"/>
            </w:pPr>
            <w:r>
              <w:t>Personal file;</w:t>
            </w:r>
          </w:p>
          <w:p w:rsidR="004F4223" w:rsidRDefault="004F4223" w:rsidP="00D061BD">
            <w:pPr>
              <w:pStyle w:val="ListParagraph"/>
              <w:numPr>
                <w:ilvl w:val="0"/>
                <w:numId w:val="14"/>
              </w:numPr>
              <w:ind w:left="113" w:hanging="170"/>
            </w:pPr>
            <w:r>
              <w:t>Spreadsheet</w:t>
            </w:r>
          </w:p>
        </w:tc>
        <w:tc>
          <w:tcPr>
            <w:tcW w:w="2558" w:type="dxa"/>
          </w:tcPr>
          <w:p w:rsidR="004F4223" w:rsidRDefault="004F4223" w:rsidP="00D061BD">
            <w:pPr>
              <w:pStyle w:val="ListParagraph"/>
              <w:numPr>
                <w:ilvl w:val="0"/>
                <w:numId w:val="14"/>
              </w:numPr>
              <w:ind w:left="113" w:hanging="170"/>
            </w:pPr>
            <w:r>
              <w:t xml:space="preserve">Monitoring service; </w:t>
            </w:r>
          </w:p>
          <w:p w:rsidR="004F4223" w:rsidRDefault="004F4223" w:rsidP="00D061BD">
            <w:pPr>
              <w:pStyle w:val="ListParagraph"/>
              <w:numPr>
                <w:ilvl w:val="0"/>
                <w:numId w:val="14"/>
              </w:numPr>
              <w:ind w:left="113" w:hanging="170"/>
            </w:pPr>
            <w:r>
              <w:t>Measuring progress;</w:t>
            </w:r>
          </w:p>
          <w:p w:rsidR="004F4223" w:rsidRDefault="004F4223" w:rsidP="00D061BD">
            <w:pPr>
              <w:pStyle w:val="ListParagraph"/>
              <w:numPr>
                <w:ilvl w:val="0"/>
                <w:numId w:val="14"/>
              </w:numPr>
              <w:ind w:left="113" w:hanging="170"/>
            </w:pPr>
            <w:r>
              <w:t>Writing case studies</w:t>
            </w:r>
          </w:p>
        </w:tc>
        <w:tc>
          <w:tcPr>
            <w:tcW w:w="4961" w:type="dxa"/>
          </w:tcPr>
          <w:p w:rsidR="004F4223" w:rsidRDefault="004F4223" w:rsidP="00D061BD">
            <w:pPr>
              <w:pStyle w:val="ListParagraph"/>
              <w:numPr>
                <w:ilvl w:val="0"/>
                <w:numId w:val="14"/>
              </w:numPr>
              <w:ind w:left="113" w:hanging="170"/>
            </w:pPr>
            <w:r>
              <w:t>LAC reviews and hearings;</w:t>
            </w:r>
          </w:p>
          <w:p w:rsidR="004F4223" w:rsidRDefault="004F4223" w:rsidP="00D061BD">
            <w:pPr>
              <w:pStyle w:val="ListParagraph"/>
              <w:numPr>
                <w:ilvl w:val="0"/>
                <w:numId w:val="14"/>
              </w:numPr>
              <w:ind w:left="113" w:hanging="170"/>
            </w:pPr>
            <w:r>
              <w:t>intandem (anonymised);</w:t>
            </w:r>
          </w:p>
          <w:p w:rsidR="004F4223" w:rsidRDefault="004F4223" w:rsidP="00D061BD">
            <w:pPr>
              <w:pStyle w:val="ListParagraph"/>
              <w:numPr>
                <w:ilvl w:val="0"/>
                <w:numId w:val="14"/>
              </w:numPr>
              <w:ind w:left="113" w:hanging="170"/>
            </w:pPr>
            <w:r>
              <w:t>SG/stakeholders/public (anonymised; in analysis)</w:t>
            </w:r>
          </w:p>
        </w:tc>
      </w:tr>
      <w:tr w:rsidR="004F4223" w:rsidTr="00D061BD">
        <w:tc>
          <w:tcPr>
            <w:tcW w:w="2611" w:type="dxa"/>
          </w:tcPr>
          <w:p w:rsidR="004F4223" w:rsidRDefault="004F4223" w:rsidP="004F4223">
            <w:r>
              <w:t>Mentee educational attendance and exclusions</w:t>
            </w:r>
          </w:p>
        </w:tc>
        <w:tc>
          <w:tcPr>
            <w:tcW w:w="1637" w:type="dxa"/>
          </w:tcPr>
          <w:p w:rsidR="004F4223" w:rsidRDefault="004F4223" w:rsidP="00D061BD">
            <w:pPr>
              <w:pStyle w:val="ListParagraph"/>
              <w:numPr>
                <w:ilvl w:val="0"/>
                <w:numId w:val="14"/>
              </w:numPr>
              <w:ind w:left="113" w:hanging="170"/>
            </w:pPr>
            <w:r>
              <w:t>School</w:t>
            </w:r>
          </w:p>
        </w:tc>
        <w:tc>
          <w:tcPr>
            <w:tcW w:w="2835" w:type="dxa"/>
          </w:tcPr>
          <w:p w:rsidR="004F4223" w:rsidRDefault="004F4223" w:rsidP="00D061BD">
            <w:pPr>
              <w:pStyle w:val="ListParagraph"/>
              <w:numPr>
                <w:ilvl w:val="0"/>
                <w:numId w:val="14"/>
              </w:numPr>
              <w:ind w:left="113" w:hanging="170"/>
            </w:pPr>
            <w:r>
              <w:t>Personal file</w:t>
            </w:r>
          </w:p>
        </w:tc>
        <w:tc>
          <w:tcPr>
            <w:tcW w:w="2558" w:type="dxa"/>
          </w:tcPr>
          <w:p w:rsidR="004F4223" w:rsidRDefault="004F4223" w:rsidP="00D061BD">
            <w:pPr>
              <w:pStyle w:val="ListParagraph"/>
              <w:numPr>
                <w:ilvl w:val="0"/>
                <w:numId w:val="14"/>
              </w:numPr>
              <w:ind w:left="113" w:hanging="170"/>
            </w:pPr>
            <w:r>
              <w:t>Measuring progress;</w:t>
            </w:r>
          </w:p>
          <w:p w:rsidR="004F4223" w:rsidRDefault="004F4223" w:rsidP="00D061BD">
            <w:pPr>
              <w:pStyle w:val="ListParagraph"/>
              <w:numPr>
                <w:ilvl w:val="0"/>
                <w:numId w:val="14"/>
              </w:numPr>
              <w:ind w:left="113" w:hanging="170"/>
            </w:pPr>
            <w:r>
              <w:t>Writing case studies</w:t>
            </w:r>
          </w:p>
        </w:tc>
        <w:tc>
          <w:tcPr>
            <w:tcW w:w="4961" w:type="dxa"/>
          </w:tcPr>
          <w:p w:rsidR="004F4223" w:rsidRDefault="004F4223" w:rsidP="00D061BD">
            <w:pPr>
              <w:pStyle w:val="ListParagraph"/>
              <w:numPr>
                <w:ilvl w:val="0"/>
                <w:numId w:val="14"/>
              </w:numPr>
              <w:ind w:left="113" w:hanging="170"/>
            </w:pPr>
            <w:r>
              <w:t>Mentor;</w:t>
            </w:r>
          </w:p>
          <w:p w:rsidR="004F4223" w:rsidRDefault="004F4223" w:rsidP="00D061BD">
            <w:pPr>
              <w:pStyle w:val="ListParagraph"/>
              <w:numPr>
                <w:ilvl w:val="0"/>
                <w:numId w:val="14"/>
              </w:numPr>
              <w:ind w:left="113" w:hanging="170"/>
            </w:pPr>
            <w:r>
              <w:t>LAC reviews and hearings;</w:t>
            </w:r>
          </w:p>
          <w:p w:rsidR="004F4223" w:rsidRDefault="004F4223" w:rsidP="00D061BD">
            <w:pPr>
              <w:pStyle w:val="ListParagraph"/>
              <w:numPr>
                <w:ilvl w:val="0"/>
                <w:numId w:val="14"/>
              </w:numPr>
              <w:ind w:left="113" w:hanging="170"/>
            </w:pPr>
            <w:r>
              <w:t>intandem (anonymised);</w:t>
            </w:r>
          </w:p>
          <w:p w:rsidR="004F4223" w:rsidRDefault="004F4223" w:rsidP="00D061BD">
            <w:pPr>
              <w:pStyle w:val="ListParagraph"/>
              <w:numPr>
                <w:ilvl w:val="0"/>
                <w:numId w:val="14"/>
              </w:numPr>
              <w:ind w:left="113" w:hanging="170"/>
            </w:pPr>
            <w:r>
              <w:t>SG/stakeholders/public (anonymised; in analysis)</w:t>
            </w:r>
          </w:p>
        </w:tc>
      </w:tr>
    </w:tbl>
    <w:p w:rsidR="00EA4152" w:rsidRDefault="00EA4152" w:rsidP="00695565">
      <w:pPr>
        <w:spacing w:after="0"/>
      </w:pPr>
    </w:p>
    <w:sectPr w:rsidR="00EA4152" w:rsidSect="00D061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C46" w:rsidRDefault="00917C46" w:rsidP="00A63F70">
      <w:pPr>
        <w:spacing w:after="0" w:line="240" w:lineRule="auto"/>
      </w:pPr>
      <w:r>
        <w:separator/>
      </w:r>
    </w:p>
  </w:endnote>
  <w:endnote w:type="continuationSeparator" w:id="0">
    <w:p w:rsidR="00917C46" w:rsidRDefault="00917C46" w:rsidP="00A6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DA6" w:rsidRDefault="00FF5DA6">
    <w:pPr>
      <w:pStyle w:val="Footer"/>
    </w:pPr>
    <w:r>
      <w:rPr>
        <w:noProof/>
      </w:rPr>
      <w:drawing>
        <wp:inline distT="0" distB="0" distL="0" distR="0" wp14:anchorId="750A46D2">
          <wp:extent cx="5730875" cy="9753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753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C46" w:rsidRDefault="00917C46" w:rsidP="00A63F70">
      <w:pPr>
        <w:spacing w:after="0" w:line="240" w:lineRule="auto"/>
      </w:pPr>
      <w:r>
        <w:separator/>
      </w:r>
    </w:p>
  </w:footnote>
  <w:footnote w:type="continuationSeparator" w:id="0">
    <w:p w:rsidR="00917C46" w:rsidRDefault="00917C46" w:rsidP="00A63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7E"/>
    <w:multiLevelType w:val="hybridMultilevel"/>
    <w:tmpl w:val="9474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33B4C"/>
    <w:multiLevelType w:val="hybridMultilevel"/>
    <w:tmpl w:val="38EC2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094F"/>
    <w:multiLevelType w:val="hybridMultilevel"/>
    <w:tmpl w:val="88FCCB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46C0C"/>
    <w:multiLevelType w:val="hybridMultilevel"/>
    <w:tmpl w:val="B70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91EDB"/>
    <w:multiLevelType w:val="hybridMultilevel"/>
    <w:tmpl w:val="FA90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D6865"/>
    <w:multiLevelType w:val="hybridMultilevel"/>
    <w:tmpl w:val="78281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26CA0"/>
    <w:multiLevelType w:val="hybridMultilevel"/>
    <w:tmpl w:val="004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8033E"/>
    <w:multiLevelType w:val="hybridMultilevel"/>
    <w:tmpl w:val="3A26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50683"/>
    <w:multiLevelType w:val="hybridMultilevel"/>
    <w:tmpl w:val="247A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F4376"/>
    <w:multiLevelType w:val="hybridMultilevel"/>
    <w:tmpl w:val="69682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8D0588"/>
    <w:multiLevelType w:val="hybridMultilevel"/>
    <w:tmpl w:val="4BA08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16481"/>
    <w:multiLevelType w:val="hybridMultilevel"/>
    <w:tmpl w:val="19346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56563"/>
    <w:multiLevelType w:val="hybridMultilevel"/>
    <w:tmpl w:val="B66837D0"/>
    <w:lvl w:ilvl="0" w:tplc="D16A4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F397B"/>
    <w:multiLevelType w:val="hybridMultilevel"/>
    <w:tmpl w:val="ADD4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A2ECA"/>
    <w:multiLevelType w:val="hybridMultilevel"/>
    <w:tmpl w:val="7AA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564AB"/>
    <w:multiLevelType w:val="hybridMultilevel"/>
    <w:tmpl w:val="773CB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1"/>
  </w:num>
  <w:num w:numId="5">
    <w:abstractNumId w:val="10"/>
  </w:num>
  <w:num w:numId="6">
    <w:abstractNumId w:val="8"/>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2"/>
  </w:num>
  <w:num w:numId="13">
    <w:abstractNumId w:val="15"/>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31"/>
    <w:rsid w:val="000151C9"/>
    <w:rsid w:val="000250A2"/>
    <w:rsid w:val="00087434"/>
    <w:rsid w:val="0018718E"/>
    <w:rsid w:val="001969E1"/>
    <w:rsid w:val="001F2FC5"/>
    <w:rsid w:val="00287748"/>
    <w:rsid w:val="002972D3"/>
    <w:rsid w:val="002B201F"/>
    <w:rsid w:val="002C013D"/>
    <w:rsid w:val="002C340E"/>
    <w:rsid w:val="00327B4B"/>
    <w:rsid w:val="003613A0"/>
    <w:rsid w:val="003D54E9"/>
    <w:rsid w:val="00425671"/>
    <w:rsid w:val="0042754B"/>
    <w:rsid w:val="00482E41"/>
    <w:rsid w:val="00490AAB"/>
    <w:rsid w:val="00496C07"/>
    <w:rsid w:val="004D0FAB"/>
    <w:rsid w:val="004F4223"/>
    <w:rsid w:val="005C1DC4"/>
    <w:rsid w:val="005C3F82"/>
    <w:rsid w:val="006806E9"/>
    <w:rsid w:val="00683DC4"/>
    <w:rsid w:val="00695565"/>
    <w:rsid w:val="00747DAB"/>
    <w:rsid w:val="0078206E"/>
    <w:rsid w:val="007967A9"/>
    <w:rsid w:val="007A07DA"/>
    <w:rsid w:val="007B1E2D"/>
    <w:rsid w:val="007D62EC"/>
    <w:rsid w:val="007D6B55"/>
    <w:rsid w:val="00803E33"/>
    <w:rsid w:val="0081517B"/>
    <w:rsid w:val="00845B14"/>
    <w:rsid w:val="0085462F"/>
    <w:rsid w:val="00875911"/>
    <w:rsid w:val="00914B5A"/>
    <w:rsid w:val="00916EBD"/>
    <w:rsid w:val="00917C46"/>
    <w:rsid w:val="00A63F70"/>
    <w:rsid w:val="00AA06FC"/>
    <w:rsid w:val="00AA23EB"/>
    <w:rsid w:val="00AB4070"/>
    <w:rsid w:val="00AB5071"/>
    <w:rsid w:val="00AD5D44"/>
    <w:rsid w:val="00B00572"/>
    <w:rsid w:val="00B12331"/>
    <w:rsid w:val="00B143BC"/>
    <w:rsid w:val="00B62430"/>
    <w:rsid w:val="00B803A7"/>
    <w:rsid w:val="00BC7FF2"/>
    <w:rsid w:val="00BD6F2A"/>
    <w:rsid w:val="00BE3829"/>
    <w:rsid w:val="00BE502A"/>
    <w:rsid w:val="00BE6DCC"/>
    <w:rsid w:val="00C00276"/>
    <w:rsid w:val="00C16810"/>
    <w:rsid w:val="00C44672"/>
    <w:rsid w:val="00C44CCC"/>
    <w:rsid w:val="00CB7DBE"/>
    <w:rsid w:val="00CE0C9E"/>
    <w:rsid w:val="00D061BD"/>
    <w:rsid w:val="00D4617F"/>
    <w:rsid w:val="00D83875"/>
    <w:rsid w:val="00D9114A"/>
    <w:rsid w:val="00E16D22"/>
    <w:rsid w:val="00E3040B"/>
    <w:rsid w:val="00E35C6E"/>
    <w:rsid w:val="00E5495C"/>
    <w:rsid w:val="00EA4152"/>
    <w:rsid w:val="00EE2D68"/>
    <w:rsid w:val="00F44A7D"/>
    <w:rsid w:val="00F45E81"/>
    <w:rsid w:val="00F51808"/>
    <w:rsid w:val="00F54E7B"/>
    <w:rsid w:val="00F7462F"/>
    <w:rsid w:val="00F8248C"/>
    <w:rsid w:val="00F8408B"/>
    <w:rsid w:val="00FF5DA6"/>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64033"/>
  <w15:chartTrackingRefBased/>
  <w15:docId w15:val="{A4FDC3E5-0B9B-4379-A724-B86E7813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331"/>
    <w:pPr>
      <w:ind w:left="720"/>
      <w:contextualSpacing/>
    </w:pPr>
  </w:style>
  <w:style w:type="paragraph" w:styleId="BalloonText">
    <w:name w:val="Balloon Text"/>
    <w:basedOn w:val="Normal"/>
    <w:link w:val="BalloonTextChar"/>
    <w:uiPriority w:val="99"/>
    <w:semiHidden/>
    <w:unhideWhenUsed/>
    <w:rsid w:val="00916EB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916EBD"/>
    <w:rPr>
      <w:rFonts w:ascii="Arial" w:hAnsi="Arial" w:cs="Arial"/>
      <w:sz w:val="18"/>
      <w:szCs w:val="18"/>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2430"/>
    <w:rPr>
      <w:b/>
      <w:bCs/>
    </w:rPr>
  </w:style>
  <w:style w:type="paragraph" w:styleId="Header">
    <w:name w:val="header"/>
    <w:basedOn w:val="Normal"/>
    <w:link w:val="HeaderChar"/>
    <w:uiPriority w:val="99"/>
    <w:unhideWhenUsed/>
    <w:rsid w:val="00A63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0"/>
  </w:style>
  <w:style w:type="paragraph" w:styleId="Footer">
    <w:name w:val="footer"/>
    <w:basedOn w:val="Normal"/>
    <w:link w:val="FooterChar"/>
    <w:uiPriority w:val="99"/>
    <w:unhideWhenUsed/>
    <w:rsid w:val="00A63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9562">
      <w:bodyDiv w:val="1"/>
      <w:marLeft w:val="0"/>
      <w:marRight w:val="0"/>
      <w:marTop w:val="0"/>
      <w:marBottom w:val="0"/>
      <w:divBdr>
        <w:top w:val="none" w:sz="0" w:space="0" w:color="auto"/>
        <w:left w:val="none" w:sz="0" w:space="0" w:color="auto"/>
        <w:bottom w:val="none" w:sz="0" w:space="0" w:color="auto"/>
        <w:right w:val="none" w:sz="0" w:space="0" w:color="auto"/>
      </w:divBdr>
      <w:divsChild>
        <w:div w:id="1570112212">
          <w:marLeft w:val="0"/>
          <w:marRight w:val="0"/>
          <w:marTop w:val="0"/>
          <w:marBottom w:val="240"/>
          <w:divBdr>
            <w:top w:val="none" w:sz="0" w:space="0" w:color="auto"/>
            <w:left w:val="none" w:sz="0" w:space="0" w:color="auto"/>
            <w:bottom w:val="none" w:sz="0" w:space="0" w:color="auto"/>
            <w:right w:val="none" w:sz="0" w:space="0" w:color="auto"/>
          </w:divBdr>
        </w:div>
        <w:div w:id="85614911">
          <w:marLeft w:val="0"/>
          <w:marRight w:val="0"/>
          <w:marTop w:val="0"/>
          <w:marBottom w:val="240"/>
          <w:divBdr>
            <w:top w:val="none" w:sz="0" w:space="0" w:color="auto"/>
            <w:left w:val="none" w:sz="0" w:space="0" w:color="auto"/>
            <w:bottom w:val="none" w:sz="0" w:space="0" w:color="auto"/>
            <w:right w:val="none" w:sz="0" w:space="0" w:color="auto"/>
          </w:divBdr>
        </w:div>
        <w:div w:id="1269461060">
          <w:marLeft w:val="0"/>
          <w:marRight w:val="0"/>
          <w:marTop w:val="0"/>
          <w:marBottom w:val="240"/>
          <w:divBdr>
            <w:top w:val="none" w:sz="0" w:space="0" w:color="auto"/>
            <w:left w:val="none" w:sz="0" w:space="0" w:color="auto"/>
            <w:bottom w:val="none" w:sz="0" w:space="0" w:color="auto"/>
            <w:right w:val="none" w:sz="0" w:space="0" w:color="auto"/>
          </w:divBdr>
        </w:div>
      </w:divsChild>
    </w:div>
    <w:div w:id="7983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F434-4BAC-404A-8B2B-4C310135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Blake</dc:creator>
  <cp:keywords/>
  <dc:description/>
  <cp:lastModifiedBy>Neil Blake</cp:lastModifiedBy>
  <cp:revision>5</cp:revision>
  <cp:lastPrinted>2017-12-20T16:28:00Z</cp:lastPrinted>
  <dcterms:created xsi:type="dcterms:W3CDTF">2018-01-10T15:49:00Z</dcterms:created>
  <dcterms:modified xsi:type="dcterms:W3CDTF">2018-01-16T15:52:00Z</dcterms:modified>
</cp:coreProperties>
</file>